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06F03" w:rsidR="00364392" w:rsidP="00006F03" w:rsidRDefault="00006F03" w14:paraId="23CCDCD3" w14:textId="1C6C886A">
      <w:pPr>
        <w:pStyle w:val="Cm"/>
        <w:rPr>
          <w:bCs/>
        </w:rPr>
      </w:pPr>
      <w:bookmarkStart w:name="_Toc508894306" w:id="0"/>
      <w:r w:rsidRPr="00006F03">
        <w:t xml:space="preserve">Annex </w:t>
      </w:r>
      <w:r w:rsidR="00CE7987">
        <w:t>II</w:t>
      </w:r>
      <w:r w:rsidRPr="00006F03">
        <w:t xml:space="preserve"> – Core TSOs general measures and action plan to avoid future cross-zonal capacity reductions</w:t>
      </w:r>
    </w:p>
    <w:p w:rsidRPr="002E2FFC" w:rsidR="00A141AD" w:rsidP="00006F03" w:rsidRDefault="00A141AD" w14:paraId="1F8CD1B0" w14:textId="77777777">
      <w:pPr>
        <w:pStyle w:val="Cm"/>
        <w:rPr>
          <w:highlight w:val="yellow"/>
        </w:rPr>
      </w:pPr>
    </w:p>
    <w:p w:rsidRPr="002E2FFC" w:rsidR="00167F46" w:rsidP="00006F03" w:rsidRDefault="00167F46" w14:paraId="78551371" w14:textId="5DF2223D">
      <w:pPr>
        <w:pStyle w:val="Cm"/>
        <w:rPr>
          <w:highlight w:val="yellow"/>
        </w:rPr>
      </w:pPr>
    </w:p>
    <w:p w:rsidR="00F200C2" w:rsidP="00167F46" w:rsidRDefault="00F200C2" w14:paraId="373E77DD" w14:textId="77777777">
      <w:pPr>
        <w:pStyle w:val="Department"/>
        <w:jc w:val="center"/>
        <w:rPr>
          <w:rFonts w:ascii="Arial" w:hAnsi="Arial" w:cs="Arial"/>
          <w:bCs w:val="0"/>
          <w:color w:val="auto"/>
        </w:rPr>
      </w:pPr>
    </w:p>
    <w:p w:rsidR="00F200C2" w:rsidP="00167F46" w:rsidRDefault="00F200C2" w14:paraId="129B19E6" w14:textId="77777777">
      <w:pPr>
        <w:pStyle w:val="Department"/>
        <w:jc w:val="center"/>
        <w:rPr>
          <w:rFonts w:ascii="Arial" w:hAnsi="Arial" w:cs="Arial"/>
          <w:bCs w:val="0"/>
          <w:color w:val="auto"/>
        </w:rPr>
      </w:pPr>
    </w:p>
    <w:p w:rsidR="00F200C2" w:rsidP="00167F46" w:rsidRDefault="00F200C2" w14:paraId="3F66C93C" w14:textId="77777777">
      <w:pPr>
        <w:pStyle w:val="Department"/>
        <w:jc w:val="center"/>
        <w:rPr>
          <w:rFonts w:ascii="Arial" w:hAnsi="Arial" w:cs="Arial"/>
          <w:bCs w:val="0"/>
          <w:color w:val="auto"/>
        </w:rPr>
      </w:pPr>
    </w:p>
    <w:p w:rsidR="00F200C2" w:rsidP="00167F46" w:rsidRDefault="00F200C2" w14:paraId="50427475" w14:textId="77777777">
      <w:pPr>
        <w:pStyle w:val="Department"/>
        <w:jc w:val="center"/>
        <w:rPr>
          <w:rFonts w:ascii="Arial" w:hAnsi="Arial" w:cs="Arial"/>
          <w:bCs w:val="0"/>
          <w:color w:val="auto"/>
        </w:rPr>
      </w:pPr>
    </w:p>
    <w:p w:rsidR="00F200C2" w:rsidP="00167F46" w:rsidRDefault="00F200C2" w14:paraId="1724B3C8" w14:textId="77777777">
      <w:pPr>
        <w:pStyle w:val="Department"/>
        <w:jc w:val="center"/>
        <w:rPr>
          <w:rFonts w:ascii="Arial" w:hAnsi="Arial" w:cs="Arial"/>
          <w:bCs w:val="0"/>
          <w:color w:val="auto"/>
        </w:rPr>
      </w:pPr>
    </w:p>
    <w:p w:rsidR="00F200C2" w:rsidP="00167F46" w:rsidRDefault="00F200C2" w14:paraId="228494D5" w14:textId="77777777">
      <w:pPr>
        <w:pStyle w:val="Department"/>
        <w:jc w:val="center"/>
        <w:rPr>
          <w:rFonts w:ascii="Arial" w:hAnsi="Arial" w:cs="Arial"/>
          <w:bCs w:val="0"/>
          <w:color w:val="auto"/>
        </w:rPr>
      </w:pPr>
    </w:p>
    <w:p w:rsidR="00F200C2" w:rsidP="00167F46" w:rsidRDefault="00F200C2" w14:paraId="047A9779" w14:textId="77777777">
      <w:pPr>
        <w:pStyle w:val="Department"/>
        <w:jc w:val="center"/>
        <w:rPr>
          <w:rFonts w:ascii="Arial" w:hAnsi="Arial" w:cs="Arial"/>
          <w:bCs w:val="0"/>
          <w:color w:val="auto"/>
        </w:rPr>
      </w:pPr>
    </w:p>
    <w:p w:rsidR="00F200C2" w:rsidP="00167F46" w:rsidRDefault="00F200C2" w14:paraId="357CBD16" w14:textId="77777777">
      <w:pPr>
        <w:pStyle w:val="Department"/>
        <w:jc w:val="center"/>
        <w:rPr>
          <w:rFonts w:ascii="Arial" w:hAnsi="Arial" w:cs="Arial"/>
          <w:bCs w:val="0"/>
          <w:color w:val="auto"/>
        </w:rPr>
      </w:pPr>
    </w:p>
    <w:p w:rsidRPr="003D53FF" w:rsidR="00167F46" w:rsidP="4A15EC48" w:rsidRDefault="4A15EC48" w14:paraId="72D7DED4" w14:textId="4486412B">
      <w:pPr>
        <w:pStyle w:val="Department"/>
        <w:jc w:val="center"/>
        <w:rPr>
          <w:rFonts w:ascii="Arial" w:hAnsi="Arial" w:cs="Arial"/>
          <w:color w:val="auto"/>
        </w:rPr>
      </w:pPr>
      <w:r w:rsidRPr="4A15EC48">
        <w:rPr>
          <w:rFonts w:ascii="Arial" w:hAnsi="Arial" w:cs="Arial"/>
          <w:color w:val="auto"/>
        </w:rPr>
        <w:t>Q</w:t>
      </w:r>
      <w:r w:rsidR="0074601C">
        <w:rPr>
          <w:rFonts w:ascii="Arial" w:hAnsi="Arial" w:cs="Arial"/>
          <w:color w:val="auto"/>
        </w:rPr>
        <w:t>4</w:t>
      </w:r>
      <w:r w:rsidRPr="4A15EC48">
        <w:rPr>
          <w:rFonts w:ascii="Arial" w:hAnsi="Arial" w:cs="Arial"/>
          <w:color w:val="auto"/>
        </w:rPr>
        <w:t xml:space="preserve"> 202</w:t>
      </w:r>
      <w:r w:rsidR="0063252E">
        <w:rPr>
          <w:rFonts w:ascii="Arial" w:hAnsi="Arial" w:cs="Arial"/>
          <w:color w:val="auto"/>
        </w:rPr>
        <w:t>5</w:t>
      </w:r>
    </w:p>
    <w:p w:rsidRPr="003D53FF" w:rsidR="00167F46" w:rsidP="00167F46" w:rsidRDefault="00167F46" w14:paraId="5E8C6E83" w14:textId="77777777">
      <w:pPr>
        <w:pStyle w:val="Department"/>
        <w:jc w:val="center"/>
        <w:rPr>
          <w:rFonts w:ascii="Arial" w:hAnsi="Arial" w:cs="Arial"/>
          <w:b w:val="0"/>
          <w:color w:val="auto"/>
        </w:rPr>
      </w:pPr>
    </w:p>
    <w:p w:rsidR="00F200C2" w:rsidP="00D46052" w:rsidRDefault="00F200C2" w14:paraId="61BB4651" w14:textId="77777777">
      <w:pPr>
        <w:tabs>
          <w:tab w:val="left" w:pos="7864"/>
        </w:tabs>
        <w:rPr>
          <w:rFonts w:cs="Arial" w:eastAsiaTheme="minorHAnsi"/>
          <w:bCs/>
          <w:color w:val="7F7F7F" w:themeColor="text1" w:themeTint="80"/>
          <w:kern w:val="32"/>
          <w:sz w:val="24"/>
          <w:szCs w:val="26"/>
          <w:lang w:val="en-GB" w:eastAsia="nl-NL"/>
        </w:rPr>
      </w:pPr>
    </w:p>
    <w:p w:rsidR="00D46052" w:rsidP="00D46052" w:rsidRDefault="00D46052" w14:paraId="61DA0601" w14:textId="3BF69668">
      <w:pPr>
        <w:tabs>
          <w:tab w:val="left" w:pos="7864"/>
        </w:tabs>
        <w:rPr>
          <w:rFonts w:cs="Arial" w:eastAsiaTheme="minorHAnsi"/>
          <w:bCs/>
          <w:color w:val="7F7F7F" w:themeColor="text1" w:themeTint="80"/>
          <w:kern w:val="32"/>
          <w:sz w:val="24"/>
          <w:szCs w:val="26"/>
          <w:lang w:val="en-GB"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539046043"/>
        <w:docPartObj>
          <w:docPartGallery w:val="Table of Contents"/>
          <w:docPartUnique/>
        </w:docPartObj>
        <w:rPr>
          <w:rFonts w:ascii="Arial" w:hAnsi="Arial" w:asciiTheme="minorAscii" w:hAnsiTheme="minorAscii"/>
          <w:b w:val="1"/>
          <w:bCs w:val="1"/>
          <w:i w:val="1"/>
          <w:iCs w:val="1"/>
          <w:sz w:val="24"/>
          <w:szCs w:val="24"/>
        </w:rPr>
      </w:sdtPr>
      <w:sdtEndPr>
        <w:rPr>
          <w:rFonts w:ascii="Arial" w:hAnsi="Arial" w:asciiTheme="minorAscii" w:hAnsiTheme="minorAscii"/>
          <w:b w:val="1"/>
          <w:bCs w:val="1"/>
          <w:i w:val="1"/>
          <w:iCs w:val="1"/>
          <w:sz w:val="24"/>
          <w:szCs w:val="24"/>
        </w:rPr>
      </w:sdtEndPr>
      <w:sdtContent>
        <w:p w:rsidR="00D46052" w:rsidP="03D1E99D" w:rsidRDefault="799E5D96" w14:paraId="2E22A2E5" w14:textId="3482BD99">
          <w:pPr>
            <w:tabs>
              <w:tab w:val="left" w:pos="7864"/>
            </w:tabs>
            <w:rPr>
              <w:color w:val="5F5F5F" w:themeColor="text2"/>
              <w:lang w:val="en-GB"/>
            </w:rPr>
          </w:pPr>
          <w:r w:rsidRPr="799E5D96">
            <w:rPr>
              <w:color w:val="5F5F5F" w:themeColor="background2" w:themeShade="80"/>
              <w:lang w:val="en-GB"/>
            </w:rPr>
            <w:t>Table of Contents</w:t>
          </w:r>
        </w:p>
        <w:p w:rsidRPr="00D46052" w:rsidR="00D46052" w:rsidP="03D1E99D" w:rsidRDefault="00D46052" w14:paraId="16B05C45" w14:textId="77777777">
          <w:pPr>
            <w:tabs>
              <w:tab w:val="left" w:pos="7864"/>
            </w:tabs>
            <w:rPr>
              <w:b/>
              <w:bCs/>
              <w:color w:val="5F5F5F" w:themeColor="text2"/>
              <w:lang w:val="en-GB"/>
            </w:rPr>
          </w:pPr>
        </w:p>
        <w:p w:rsidR="001B79CD" w:rsidRDefault="799E5D96" w14:paraId="04D02DC3" w14:textId="7DC6D80A">
          <w:pPr>
            <w:pStyle w:val="TJ1"/>
            <w:tabs>
              <w:tab w:val="right" w:leader="dot" w:pos="9288"/>
            </w:tabs>
            <w:rPr>
              <w:rFonts w:cstheme="minorBidi"/>
              <w:b w:val="0"/>
              <w:bCs w:val="0"/>
              <w:i w:val="0"/>
              <w:iCs w:val="0"/>
              <w:noProof/>
              <w:kern w:val="2"/>
              <w:lang/>
              <w14:ligatures w14:val="standardContextual"/>
            </w:rPr>
          </w:pPr>
          <w:r>
            <w:fldChar w:fldCharType="begin"/>
          </w:r>
          <w:r w:rsidR="0012099C">
            <w:instrText>TOC \o "1-3" \z \u \h</w:instrText>
          </w:r>
          <w:r>
            <w:fldChar w:fldCharType="separate"/>
          </w:r>
          <w:hyperlink w:history="1" w:anchor="_Toc220681456">
            <w:r w:rsidRPr="00F43384" w:rsidR="001B79CD">
              <w:rPr>
                <w:rStyle w:val="Hiperhivatkozs"/>
                <w:noProof/>
              </w:rPr>
              <w:t>Introduction</w:t>
            </w:r>
            <w:r w:rsidR="001B79CD">
              <w:rPr>
                <w:noProof/>
                <w:webHidden/>
              </w:rPr>
              <w:tab/>
            </w:r>
            <w:r w:rsidR="001B79CD">
              <w:rPr>
                <w:noProof/>
                <w:webHidden/>
              </w:rPr>
              <w:fldChar w:fldCharType="begin"/>
            </w:r>
            <w:r w:rsidR="001B79CD">
              <w:rPr>
                <w:noProof/>
                <w:webHidden/>
              </w:rPr>
              <w:instrText xml:space="preserve"> PAGEREF _Toc220681456 \h </w:instrText>
            </w:r>
            <w:r w:rsidR="001B79CD">
              <w:rPr>
                <w:noProof/>
                <w:webHidden/>
              </w:rPr>
            </w:r>
            <w:r w:rsidR="001B79CD">
              <w:rPr>
                <w:noProof/>
                <w:webHidden/>
              </w:rPr>
              <w:fldChar w:fldCharType="separate"/>
            </w:r>
            <w:r w:rsidR="001B79CD">
              <w:rPr>
                <w:noProof/>
                <w:webHidden/>
              </w:rPr>
              <w:t>3</w:t>
            </w:r>
            <w:r w:rsidR="001B79CD">
              <w:rPr>
                <w:noProof/>
                <w:webHidden/>
              </w:rPr>
              <w:fldChar w:fldCharType="end"/>
            </w:r>
          </w:hyperlink>
        </w:p>
        <w:p w:rsidR="001B79CD" w:rsidRDefault="001B79CD" w14:paraId="41785460" w14:textId="4C5B847E">
          <w:pPr>
            <w:pStyle w:val="TJ1"/>
            <w:tabs>
              <w:tab w:val="left" w:pos="600"/>
              <w:tab w:val="right" w:leader="dot" w:pos="9288"/>
            </w:tabs>
            <w:rPr>
              <w:rFonts w:cstheme="minorBidi"/>
              <w:b w:val="0"/>
              <w:bCs w:val="0"/>
              <w:i w:val="0"/>
              <w:iCs w:val="0"/>
              <w:noProof/>
              <w:kern w:val="2"/>
              <w:lang/>
              <w14:ligatures w14:val="standardContextual"/>
            </w:rPr>
          </w:pPr>
          <w:hyperlink w:history="1" w:anchor="_Toc220681457">
            <w:r w:rsidRPr="00F43384">
              <w:rPr>
                <w:rStyle w:val="Hiperhivatkozs"/>
                <w:noProof/>
              </w:rPr>
              <w:t>1.</w:t>
            </w:r>
            <w:r>
              <w:rPr>
                <w:rFonts w:cstheme="minorBidi"/>
                <w:b w:val="0"/>
                <w:bCs w:val="0"/>
                <w:i w:val="0"/>
                <w:iCs w:val="0"/>
                <w:noProof/>
                <w:kern w:val="2"/>
                <w:lang/>
                <w14:ligatures w14:val="standardContextual"/>
              </w:rPr>
              <w:tab/>
            </w:r>
            <w:r w:rsidRPr="00F43384">
              <w:rPr>
                <w:rStyle w:val="Hiperhivatkozs"/>
                <w:noProof/>
              </w:rPr>
              <w:t>CEPS</w:t>
            </w:r>
            <w:r>
              <w:rPr>
                <w:noProof/>
                <w:webHidden/>
              </w:rPr>
              <w:tab/>
            </w:r>
            <w:r>
              <w:rPr>
                <w:noProof/>
                <w:webHidden/>
              </w:rPr>
              <w:fldChar w:fldCharType="begin"/>
            </w:r>
            <w:r>
              <w:rPr>
                <w:noProof/>
                <w:webHidden/>
              </w:rPr>
              <w:instrText xml:space="preserve"> PAGEREF _Toc220681457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4049CC1A" w14:textId="2BF28940">
          <w:pPr>
            <w:pStyle w:val="TJ1"/>
            <w:tabs>
              <w:tab w:val="left" w:pos="600"/>
              <w:tab w:val="right" w:leader="dot" w:pos="9288"/>
            </w:tabs>
            <w:rPr>
              <w:rFonts w:cstheme="minorBidi"/>
              <w:b w:val="0"/>
              <w:bCs w:val="0"/>
              <w:i w:val="0"/>
              <w:iCs w:val="0"/>
              <w:noProof/>
              <w:kern w:val="2"/>
              <w:lang/>
              <w14:ligatures w14:val="standardContextual"/>
            </w:rPr>
          </w:pPr>
          <w:hyperlink w:history="1" w:anchor="_Toc220681458">
            <w:r w:rsidRPr="00F43384">
              <w:rPr>
                <w:rStyle w:val="Hiperhivatkozs"/>
                <w:noProof/>
              </w:rPr>
              <w:t>2.</w:t>
            </w:r>
            <w:r>
              <w:rPr>
                <w:rFonts w:cstheme="minorBidi"/>
                <w:b w:val="0"/>
                <w:bCs w:val="0"/>
                <w:i w:val="0"/>
                <w:iCs w:val="0"/>
                <w:noProof/>
                <w:kern w:val="2"/>
                <w:lang/>
                <w14:ligatures w14:val="standardContextual"/>
              </w:rPr>
              <w:tab/>
            </w:r>
            <w:r w:rsidRPr="00F43384">
              <w:rPr>
                <w:rStyle w:val="Hiperhivatkozs"/>
                <w:noProof/>
              </w:rPr>
              <w:t>DAVinCy TSOs</w:t>
            </w:r>
            <w:r>
              <w:rPr>
                <w:noProof/>
                <w:webHidden/>
              </w:rPr>
              <w:tab/>
            </w:r>
            <w:r>
              <w:rPr>
                <w:noProof/>
                <w:webHidden/>
              </w:rPr>
              <w:fldChar w:fldCharType="begin"/>
            </w:r>
            <w:r>
              <w:rPr>
                <w:noProof/>
                <w:webHidden/>
              </w:rPr>
              <w:instrText xml:space="preserve"> PAGEREF _Toc220681458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6A27EA7E" w14:textId="0E452565">
          <w:pPr>
            <w:pStyle w:val="TJ2"/>
            <w:tabs>
              <w:tab w:val="left" w:pos="1000"/>
              <w:tab w:val="right" w:leader="dot" w:pos="9288"/>
            </w:tabs>
            <w:rPr>
              <w:rFonts w:cstheme="minorBidi"/>
              <w:b w:val="0"/>
              <w:bCs w:val="0"/>
              <w:noProof/>
              <w:kern w:val="2"/>
              <w:sz w:val="24"/>
              <w:szCs w:val="24"/>
              <w:lang/>
              <w14:ligatures w14:val="standardContextual"/>
            </w:rPr>
          </w:pPr>
          <w:hyperlink w:history="1" w:anchor="_Toc220681459">
            <w:r w:rsidRPr="00F43384">
              <w:rPr>
                <w:rStyle w:val="Hiperhivatkozs"/>
                <w:noProof/>
              </w:rPr>
              <w:t>2.1.</w:t>
            </w:r>
            <w:r>
              <w:rPr>
                <w:rFonts w:cstheme="minorBidi"/>
                <w:b w:val="0"/>
                <w:bCs w:val="0"/>
                <w:noProof/>
                <w:kern w:val="2"/>
                <w:sz w:val="24"/>
                <w:szCs w:val="24"/>
                <w:lang/>
                <w14:ligatures w14:val="standardContextual"/>
              </w:rPr>
              <w:tab/>
            </w:r>
            <w:r w:rsidRPr="00F43384">
              <w:rPr>
                <w:rStyle w:val="Hiperhivatkozs"/>
                <w:noProof/>
              </w:rPr>
              <w:t>APG</w:t>
            </w:r>
            <w:r>
              <w:rPr>
                <w:noProof/>
                <w:webHidden/>
              </w:rPr>
              <w:tab/>
            </w:r>
            <w:r>
              <w:rPr>
                <w:noProof/>
                <w:webHidden/>
              </w:rPr>
              <w:fldChar w:fldCharType="begin"/>
            </w:r>
            <w:r>
              <w:rPr>
                <w:noProof/>
                <w:webHidden/>
              </w:rPr>
              <w:instrText xml:space="preserve"> PAGEREF _Toc220681459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185BD6F1" w14:textId="704D1CC6">
          <w:pPr>
            <w:pStyle w:val="TJ2"/>
            <w:tabs>
              <w:tab w:val="left" w:pos="1000"/>
              <w:tab w:val="right" w:leader="dot" w:pos="9288"/>
            </w:tabs>
            <w:rPr>
              <w:rFonts w:cstheme="minorBidi"/>
              <w:b w:val="0"/>
              <w:bCs w:val="0"/>
              <w:noProof/>
              <w:kern w:val="2"/>
              <w:sz w:val="24"/>
              <w:szCs w:val="24"/>
              <w:lang/>
              <w14:ligatures w14:val="standardContextual"/>
            </w:rPr>
          </w:pPr>
          <w:hyperlink w:history="1" w:anchor="_Toc220681460">
            <w:r w:rsidRPr="00F43384">
              <w:rPr>
                <w:rStyle w:val="Hiperhivatkozs"/>
                <w:noProof/>
              </w:rPr>
              <w:t>2.2.</w:t>
            </w:r>
            <w:r>
              <w:rPr>
                <w:rFonts w:cstheme="minorBidi"/>
                <w:b w:val="0"/>
                <w:bCs w:val="0"/>
                <w:noProof/>
                <w:kern w:val="2"/>
                <w:sz w:val="24"/>
                <w:szCs w:val="24"/>
                <w:lang/>
                <w14:ligatures w14:val="standardContextual"/>
              </w:rPr>
              <w:tab/>
            </w:r>
            <w:r w:rsidRPr="00F43384">
              <w:rPr>
                <w:rStyle w:val="Hiperhivatkozs"/>
                <w:noProof/>
              </w:rPr>
              <w:t>German TSOs</w:t>
            </w:r>
            <w:r>
              <w:rPr>
                <w:noProof/>
                <w:webHidden/>
              </w:rPr>
              <w:tab/>
            </w:r>
            <w:r>
              <w:rPr>
                <w:noProof/>
                <w:webHidden/>
              </w:rPr>
              <w:fldChar w:fldCharType="begin"/>
            </w:r>
            <w:r>
              <w:rPr>
                <w:noProof/>
                <w:webHidden/>
              </w:rPr>
              <w:instrText xml:space="preserve"> PAGEREF _Toc220681460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165195FF" w14:textId="4D6E20CE">
          <w:pPr>
            <w:pStyle w:val="TJ2"/>
            <w:tabs>
              <w:tab w:val="left" w:pos="1000"/>
              <w:tab w:val="right" w:leader="dot" w:pos="9288"/>
            </w:tabs>
            <w:rPr>
              <w:rFonts w:cstheme="minorBidi"/>
              <w:b w:val="0"/>
              <w:bCs w:val="0"/>
              <w:noProof/>
              <w:kern w:val="2"/>
              <w:sz w:val="24"/>
              <w:szCs w:val="24"/>
              <w:lang/>
              <w14:ligatures w14:val="standardContextual"/>
            </w:rPr>
          </w:pPr>
          <w:hyperlink w:history="1" w:anchor="_Toc220681461">
            <w:r w:rsidRPr="00F43384">
              <w:rPr>
                <w:rStyle w:val="Hiperhivatkozs"/>
                <w:noProof/>
              </w:rPr>
              <w:t>2.3.</w:t>
            </w:r>
            <w:r>
              <w:rPr>
                <w:rFonts w:cstheme="minorBidi"/>
                <w:b w:val="0"/>
                <w:bCs w:val="0"/>
                <w:noProof/>
                <w:kern w:val="2"/>
                <w:sz w:val="24"/>
                <w:szCs w:val="24"/>
                <w:lang/>
                <w14:ligatures w14:val="standardContextual"/>
              </w:rPr>
              <w:tab/>
            </w:r>
            <w:r w:rsidRPr="00F43384">
              <w:rPr>
                <w:rStyle w:val="Hiperhivatkozs"/>
                <w:noProof/>
              </w:rPr>
              <w:t>TENNET TSO BV</w:t>
            </w:r>
            <w:r>
              <w:rPr>
                <w:noProof/>
                <w:webHidden/>
              </w:rPr>
              <w:tab/>
            </w:r>
            <w:r>
              <w:rPr>
                <w:noProof/>
                <w:webHidden/>
              </w:rPr>
              <w:fldChar w:fldCharType="begin"/>
            </w:r>
            <w:r>
              <w:rPr>
                <w:noProof/>
                <w:webHidden/>
              </w:rPr>
              <w:instrText xml:space="preserve"> PAGEREF _Toc220681461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52F42530" w14:textId="70FC902E">
          <w:pPr>
            <w:pStyle w:val="TJ1"/>
            <w:tabs>
              <w:tab w:val="left" w:pos="600"/>
              <w:tab w:val="right" w:leader="dot" w:pos="9288"/>
            </w:tabs>
            <w:rPr>
              <w:rFonts w:cstheme="minorBidi"/>
              <w:b w:val="0"/>
              <w:bCs w:val="0"/>
              <w:i w:val="0"/>
              <w:iCs w:val="0"/>
              <w:noProof/>
              <w:kern w:val="2"/>
              <w:lang/>
              <w14:ligatures w14:val="standardContextual"/>
            </w:rPr>
          </w:pPr>
          <w:hyperlink w:history="1" w:anchor="_Toc220681462">
            <w:r w:rsidRPr="00F43384">
              <w:rPr>
                <w:rStyle w:val="Hiperhivatkozs"/>
                <w:noProof/>
              </w:rPr>
              <w:t>3.</w:t>
            </w:r>
            <w:r>
              <w:rPr>
                <w:rFonts w:cstheme="minorBidi"/>
                <w:b w:val="0"/>
                <w:bCs w:val="0"/>
                <w:i w:val="0"/>
                <w:iCs w:val="0"/>
                <w:noProof/>
                <w:kern w:val="2"/>
                <w:lang/>
                <w14:ligatures w14:val="standardContextual"/>
              </w:rPr>
              <w:tab/>
            </w:r>
            <w:r w:rsidRPr="00F43384">
              <w:rPr>
                <w:rStyle w:val="Hiperhivatkozs"/>
                <w:noProof/>
              </w:rPr>
              <w:t>ELES</w:t>
            </w:r>
            <w:r>
              <w:rPr>
                <w:noProof/>
                <w:webHidden/>
              </w:rPr>
              <w:tab/>
            </w:r>
            <w:r>
              <w:rPr>
                <w:noProof/>
                <w:webHidden/>
              </w:rPr>
              <w:fldChar w:fldCharType="begin"/>
            </w:r>
            <w:r>
              <w:rPr>
                <w:noProof/>
                <w:webHidden/>
              </w:rPr>
              <w:instrText xml:space="preserve"> PAGEREF _Toc220681462 \h </w:instrText>
            </w:r>
            <w:r>
              <w:rPr>
                <w:noProof/>
                <w:webHidden/>
              </w:rPr>
            </w:r>
            <w:r>
              <w:rPr>
                <w:noProof/>
                <w:webHidden/>
              </w:rPr>
              <w:fldChar w:fldCharType="separate"/>
            </w:r>
            <w:r>
              <w:rPr>
                <w:noProof/>
                <w:webHidden/>
              </w:rPr>
              <w:t>4</w:t>
            </w:r>
            <w:r>
              <w:rPr>
                <w:noProof/>
                <w:webHidden/>
              </w:rPr>
              <w:fldChar w:fldCharType="end"/>
            </w:r>
          </w:hyperlink>
        </w:p>
        <w:p w:rsidR="001B79CD" w:rsidRDefault="001B79CD" w14:paraId="7B437C33" w14:textId="00497912">
          <w:pPr>
            <w:pStyle w:val="TJ1"/>
            <w:tabs>
              <w:tab w:val="left" w:pos="600"/>
              <w:tab w:val="right" w:leader="dot" w:pos="9288"/>
            </w:tabs>
            <w:rPr>
              <w:rFonts w:cstheme="minorBidi"/>
              <w:b w:val="0"/>
              <w:bCs w:val="0"/>
              <w:i w:val="0"/>
              <w:iCs w:val="0"/>
              <w:noProof/>
              <w:kern w:val="2"/>
              <w:lang/>
              <w14:ligatures w14:val="standardContextual"/>
            </w:rPr>
          </w:pPr>
          <w:hyperlink w:history="1" w:anchor="_Toc220681463">
            <w:r w:rsidRPr="00F43384">
              <w:rPr>
                <w:rStyle w:val="Hiperhivatkozs"/>
                <w:noProof/>
              </w:rPr>
              <w:t>4.</w:t>
            </w:r>
            <w:r>
              <w:rPr>
                <w:rFonts w:cstheme="minorBidi"/>
                <w:b w:val="0"/>
                <w:bCs w:val="0"/>
                <w:i w:val="0"/>
                <w:iCs w:val="0"/>
                <w:noProof/>
                <w:kern w:val="2"/>
                <w:lang/>
                <w14:ligatures w14:val="standardContextual"/>
              </w:rPr>
              <w:tab/>
            </w:r>
            <w:r w:rsidRPr="00F43384">
              <w:rPr>
                <w:rStyle w:val="Hiperhivatkozs"/>
                <w:noProof/>
              </w:rPr>
              <w:t>ELIA</w:t>
            </w:r>
            <w:r>
              <w:rPr>
                <w:noProof/>
                <w:webHidden/>
              </w:rPr>
              <w:tab/>
            </w:r>
            <w:r>
              <w:rPr>
                <w:noProof/>
                <w:webHidden/>
              </w:rPr>
              <w:fldChar w:fldCharType="begin"/>
            </w:r>
            <w:r>
              <w:rPr>
                <w:noProof/>
                <w:webHidden/>
              </w:rPr>
              <w:instrText xml:space="preserve"> PAGEREF _Toc220681463 \h </w:instrText>
            </w:r>
            <w:r>
              <w:rPr>
                <w:noProof/>
                <w:webHidden/>
              </w:rPr>
            </w:r>
            <w:r>
              <w:rPr>
                <w:noProof/>
                <w:webHidden/>
              </w:rPr>
              <w:fldChar w:fldCharType="separate"/>
            </w:r>
            <w:r>
              <w:rPr>
                <w:noProof/>
                <w:webHidden/>
              </w:rPr>
              <w:t>5</w:t>
            </w:r>
            <w:r>
              <w:rPr>
                <w:noProof/>
                <w:webHidden/>
              </w:rPr>
              <w:fldChar w:fldCharType="end"/>
            </w:r>
          </w:hyperlink>
        </w:p>
        <w:p w:rsidR="001B79CD" w:rsidRDefault="001B79CD" w14:paraId="6700A198" w14:textId="74EBBB5C">
          <w:pPr>
            <w:pStyle w:val="TJ1"/>
            <w:tabs>
              <w:tab w:val="left" w:pos="600"/>
              <w:tab w:val="right" w:leader="dot" w:pos="9288"/>
            </w:tabs>
            <w:rPr>
              <w:rFonts w:cstheme="minorBidi"/>
              <w:b w:val="0"/>
              <w:bCs w:val="0"/>
              <w:i w:val="0"/>
              <w:iCs w:val="0"/>
              <w:noProof/>
              <w:kern w:val="2"/>
              <w:lang/>
              <w14:ligatures w14:val="standardContextual"/>
            </w:rPr>
          </w:pPr>
          <w:hyperlink w:history="1" w:anchor="_Toc220681464">
            <w:r w:rsidRPr="00F43384">
              <w:rPr>
                <w:rStyle w:val="Hiperhivatkozs"/>
                <w:noProof/>
              </w:rPr>
              <w:t>5.</w:t>
            </w:r>
            <w:r>
              <w:rPr>
                <w:rFonts w:cstheme="minorBidi"/>
                <w:b w:val="0"/>
                <w:bCs w:val="0"/>
                <w:i w:val="0"/>
                <w:iCs w:val="0"/>
                <w:noProof/>
                <w:kern w:val="2"/>
                <w:lang/>
                <w14:ligatures w14:val="standardContextual"/>
              </w:rPr>
              <w:tab/>
            </w:r>
            <w:r w:rsidRPr="00F43384">
              <w:rPr>
                <w:rStyle w:val="Hiperhivatkozs"/>
                <w:noProof/>
              </w:rPr>
              <w:t>HOPS</w:t>
            </w:r>
            <w:r>
              <w:rPr>
                <w:noProof/>
                <w:webHidden/>
              </w:rPr>
              <w:tab/>
            </w:r>
            <w:r>
              <w:rPr>
                <w:noProof/>
                <w:webHidden/>
              </w:rPr>
              <w:fldChar w:fldCharType="begin"/>
            </w:r>
            <w:r>
              <w:rPr>
                <w:noProof/>
                <w:webHidden/>
              </w:rPr>
              <w:instrText xml:space="preserve"> PAGEREF _Toc220681464 \h </w:instrText>
            </w:r>
            <w:r>
              <w:rPr>
                <w:noProof/>
                <w:webHidden/>
              </w:rPr>
            </w:r>
            <w:r>
              <w:rPr>
                <w:noProof/>
                <w:webHidden/>
              </w:rPr>
              <w:fldChar w:fldCharType="separate"/>
            </w:r>
            <w:r>
              <w:rPr>
                <w:noProof/>
                <w:webHidden/>
              </w:rPr>
              <w:t>5</w:t>
            </w:r>
            <w:r>
              <w:rPr>
                <w:noProof/>
                <w:webHidden/>
              </w:rPr>
              <w:fldChar w:fldCharType="end"/>
            </w:r>
          </w:hyperlink>
        </w:p>
        <w:p w:rsidR="001B79CD" w:rsidRDefault="001B79CD" w14:paraId="1E4421CE" w14:textId="48AF85BD">
          <w:pPr>
            <w:pStyle w:val="TJ1"/>
            <w:tabs>
              <w:tab w:val="left" w:pos="600"/>
              <w:tab w:val="right" w:leader="dot" w:pos="9288"/>
            </w:tabs>
            <w:rPr>
              <w:rFonts w:cstheme="minorBidi"/>
              <w:b w:val="0"/>
              <w:bCs w:val="0"/>
              <w:i w:val="0"/>
              <w:iCs w:val="0"/>
              <w:noProof/>
              <w:kern w:val="2"/>
              <w:lang/>
              <w14:ligatures w14:val="standardContextual"/>
            </w:rPr>
          </w:pPr>
          <w:hyperlink w:history="1" w:anchor="_Toc220681465">
            <w:r w:rsidRPr="00F43384">
              <w:rPr>
                <w:rStyle w:val="Hiperhivatkozs"/>
                <w:noProof/>
              </w:rPr>
              <w:t>6.</w:t>
            </w:r>
            <w:r>
              <w:rPr>
                <w:rFonts w:cstheme="minorBidi"/>
                <w:b w:val="0"/>
                <w:bCs w:val="0"/>
                <w:i w:val="0"/>
                <w:iCs w:val="0"/>
                <w:noProof/>
                <w:kern w:val="2"/>
                <w:lang/>
                <w14:ligatures w14:val="standardContextual"/>
              </w:rPr>
              <w:tab/>
            </w:r>
            <w:r w:rsidRPr="00F43384">
              <w:rPr>
                <w:rStyle w:val="Hiperhivatkozs"/>
                <w:noProof/>
              </w:rPr>
              <w:t>MAVIR</w:t>
            </w:r>
            <w:r>
              <w:rPr>
                <w:noProof/>
                <w:webHidden/>
              </w:rPr>
              <w:tab/>
            </w:r>
            <w:r>
              <w:rPr>
                <w:noProof/>
                <w:webHidden/>
              </w:rPr>
              <w:fldChar w:fldCharType="begin"/>
            </w:r>
            <w:r>
              <w:rPr>
                <w:noProof/>
                <w:webHidden/>
              </w:rPr>
              <w:instrText xml:space="preserve"> PAGEREF _Toc220681465 \h </w:instrText>
            </w:r>
            <w:r>
              <w:rPr>
                <w:noProof/>
                <w:webHidden/>
              </w:rPr>
            </w:r>
            <w:r>
              <w:rPr>
                <w:noProof/>
                <w:webHidden/>
              </w:rPr>
              <w:fldChar w:fldCharType="separate"/>
            </w:r>
            <w:r>
              <w:rPr>
                <w:noProof/>
                <w:webHidden/>
              </w:rPr>
              <w:t>7</w:t>
            </w:r>
            <w:r>
              <w:rPr>
                <w:noProof/>
                <w:webHidden/>
              </w:rPr>
              <w:fldChar w:fldCharType="end"/>
            </w:r>
          </w:hyperlink>
        </w:p>
        <w:p w:rsidR="001B79CD" w:rsidRDefault="001B79CD" w14:paraId="36D1B0A8" w14:textId="755023AE">
          <w:pPr>
            <w:pStyle w:val="TJ1"/>
            <w:tabs>
              <w:tab w:val="left" w:pos="600"/>
              <w:tab w:val="right" w:leader="dot" w:pos="9288"/>
            </w:tabs>
            <w:rPr>
              <w:rFonts w:cstheme="minorBidi"/>
              <w:b w:val="0"/>
              <w:bCs w:val="0"/>
              <w:i w:val="0"/>
              <w:iCs w:val="0"/>
              <w:noProof/>
              <w:kern w:val="2"/>
              <w:lang/>
              <w14:ligatures w14:val="standardContextual"/>
            </w:rPr>
          </w:pPr>
          <w:hyperlink w:history="1" w:anchor="_Toc220681466">
            <w:r w:rsidRPr="00F43384">
              <w:rPr>
                <w:rStyle w:val="Hiperhivatkozs"/>
                <w:noProof/>
              </w:rPr>
              <w:t>7.</w:t>
            </w:r>
            <w:r>
              <w:rPr>
                <w:rFonts w:cstheme="minorBidi"/>
                <w:b w:val="0"/>
                <w:bCs w:val="0"/>
                <w:i w:val="0"/>
                <w:iCs w:val="0"/>
                <w:noProof/>
                <w:kern w:val="2"/>
                <w:lang/>
                <w14:ligatures w14:val="standardContextual"/>
              </w:rPr>
              <w:tab/>
            </w:r>
            <w:r w:rsidRPr="00F43384">
              <w:rPr>
                <w:rStyle w:val="Hiperhivatkozs"/>
                <w:noProof/>
              </w:rPr>
              <w:t>PSE</w:t>
            </w:r>
            <w:r>
              <w:rPr>
                <w:noProof/>
                <w:webHidden/>
              </w:rPr>
              <w:tab/>
            </w:r>
            <w:r>
              <w:rPr>
                <w:noProof/>
                <w:webHidden/>
              </w:rPr>
              <w:fldChar w:fldCharType="begin"/>
            </w:r>
            <w:r>
              <w:rPr>
                <w:noProof/>
                <w:webHidden/>
              </w:rPr>
              <w:instrText xml:space="preserve"> PAGEREF _Toc220681466 \h </w:instrText>
            </w:r>
            <w:r>
              <w:rPr>
                <w:noProof/>
                <w:webHidden/>
              </w:rPr>
            </w:r>
            <w:r>
              <w:rPr>
                <w:noProof/>
                <w:webHidden/>
              </w:rPr>
              <w:fldChar w:fldCharType="separate"/>
            </w:r>
            <w:r>
              <w:rPr>
                <w:noProof/>
                <w:webHidden/>
              </w:rPr>
              <w:t>7</w:t>
            </w:r>
            <w:r>
              <w:rPr>
                <w:noProof/>
                <w:webHidden/>
              </w:rPr>
              <w:fldChar w:fldCharType="end"/>
            </w:r>
          </w:hyperlink>
        </w:p>
        <w:p w:rsidR="001B79CD" w:rsidRDefault="001B79CD" w14:paraId="2572E830" w14:textId="27F17589">
          <w:pPr>
            <w:pStyle w:val="TJ1"/>
            <w:tabs>
              <w:tab w:val="left" w:pos="600"/>
              <w:tab w:val="right" w:leader="dot" w:pos="9288"/>
            </w:tabs>
            <w:rPr>
              <w:rFonts w:cstheme="minorBidi"/>
              <w:b w:val="0"/>
              <w:bCs w:val="0"/>
              <w:i w:val="0"/>
              <w:iCs w:val="0"/>
              <w:noProof/>
              <w:kern w:val="2"/>
              <w:lang/>
              <w14:ligatures w14:val="standardContextual"/>
            </w:rPr>
          </w:pPr>
          <w:hyperlink w:history="1" w:anchor="_Toc220681467">
            <w:r w:rsidRPr="00F43384">
              <w:rPr>
                <w:rStyle w:val="Hiperhivatkozs"/>
                <w:noProof/>
              </w:rPr>
              <w:t>8.</w:t>
            </w:r>
            <w:r>
              <w:rPr>
                <w:rFonts w:cstheme="minorBidi"/>
                <w:b w:val="0"/>
                <w:bCs w:val="0"/>
                <w:i w:val="0"/>
                <w:iCs w:val="0"/>
                <w:noProof/>
                <w:kern w:val="2"/>
                <w:lang/>
                <w14:ligatures w14:val="standardContextual"/>
              </w:rPr>
              <w:tab/>
            </w:r>
            <w:r w:rsidRPr="00F43384">
              <w:rPr>
                <w:rStyle w:val="Hiperhivatkozs"/>
                <w:noProof/>
              </w:rPr>
              <w:t>RTE</w:t>
            </w:r>
            <w:r>
              <w:rPr>
                <w:noProof/>
                <w:webHidden/>
              </w:rPr>
              <w:tab/>
            </w:r>
            <w:r>
              <w:rPr>
                <w:noProof/>
                <w:webHidden/>
              </w:rPr>
              <w:fldChar w:fldCharType="begin"/>
            </w:r>
            <w:r>
              <w:rPr>
                <w:noProof/>
                <w:webHidden/>
              </w:rPr>
              <w:instrText xml:space="preserve"> PAGEREF _Toc220681467 \h </w:instrText>
            </w:r>
            <w:r>
              <w:rPr>
                <w:noProof/>
                <w:webHidden/>
              </w:rPr>
            </w:r>
            <w:r>
              <w:rPr>
                <w:noProof/>
                <w:webHidden/>
              </w:rPr>
              <w:fldChar w:fldCharType="separate"/>
            </w:r>
            <w:r>
              <w:rPr>
                <w:noProof/>
                <w:webHidden/>
              </w:rPr>
              <w:t>7</w:t>
            </w:r>
            <w:r>
              <w:rPr>
                <w:noProof/>
                <w:webHidden/>
              </w:rPr>
              <w:fldChar w:fldCharType="end"/>
            </w:r>
          </w:hyperlink>
        </w:p>
        <w:p w:rsidR="001B79CD" w:rsidRDefault="001B79CD" w14:paraId="44423408" w14:textId="527890AF">
          <w:pPr>
            <w:pStyle w:val="TJ1"/>
            <w:tabs>
              <w:tab w:val="left" w:pos="600"/>
              <w:tab w:val="right" w:leader="dot" w:pos="9288"/>
            </w:tabs>
            <w:rPr>
              <w:rFonts w:cstheme="minorBidi"/>
              <w:b w:val="0"/>
              <w:bCs w:val="0"/>
              <w:i w:val="0"/>
              <w:iCs w:val="0"/>
              <w:noProof/>
              <w:kern w:val="2"/>
              <w:lang/>
              <w14:ligatures w14:val="standardContextual"/>
            </w:rPr>
          </w:pPr>
          <w:hyperlink w:history="1" w:anchor="_Toc220681468">
            <w:r w:rsidRPr="00F43384">
              <w:rPr>
                <w:rStyle w:val="Hiperhivatkozs"/>
                <w:noProof/>
              </w:rPr>
              <w:t>9.</w:t>
            </w:r>
            <w:r>
              <w:rPr>
                <w:rFonts w:cstheme="minorBidi"/>
                <w:b w:val="0"/>
                <w:bCs w:val="0"/>
                <w:i w:val="0"/>
                <w:iCs w:val="0"/>
                <w:noProof/>
                <w:kern w:val="2"/>
                <w:lang/>
                <w14:ligatures w14:val="standardContextual"/>
              </w:rPr>
              <w:tab/>
            </w:r>
            <w:r w:rsidRPr="00F43384">
              <w:rPr>
                <w:rStyle w:val="Hiperhivatkozs"/>
                <w:noProof/>
              </w:rPr>
              <w:t>SEPS</w:t>
            </w:r>
            <w:r>
              <w:rPr>
                <w:noProof/>
                <w:webHidden/>
              </w:rPr>
              <w:tab/>
            </w:r>
            <w:r>
              <w:rPr>
                <w:noProof/>
                <w:webHidden/>
              </w:rPr>
              <w:fldChar w:fldCharType="begin"/>
            </w:r>
            <w:r>
              <w:rPr>
                <w:noProof/>
                <w:webHidden/>
              </w:rPr>
              <w:instrText xml:space="preserve"> PAGEREF _Toc220681468 \h </w:instrText>
            </w:r>
            <w:r>
              <w:rPr>
                <w:noProof/>
                <w:webHidden/>
              </w:rPr>
            </w:r>
            <w:r>
              <w:rPr>
                <w:noProof/>
                <w:webHidden/>
              </w:rPr>
              <w:fldChar w:fldCharType="separate"/>
            </w:r>
            <w:r>
              <w:rPr>
                <w:noProof/>
                <w:webHidden/>
              </w:rPr>
              <w:t>7</w:t>
            </w:r>
            <w:r>
              <w:rPr>
                <w:noProof/>
                <w:webHidden/>
              </w:rPr>
              <w:fldChar w:fldCharType="end"/>
            </w:r>
          </w:hyperlink>
        </w:p>
        <w:p w:rsidR="001B79CD" w:rsidRDefault="001B79CD" w14:paraId="3AD2F265" w14:textId="791C5F8A">
          <w:pPr>
            <w:pStyle w:val="TJ1"/>
            <w:tabs>
              <w:tab w:val="left" w:pos="600"/>
              <w:tab w:val="right" w:leader="dot" w:pos="9288"/>
            </w:tabs>
            <w:rPr>
              <w:rFonts w:cstheme="minorBidi"/>
              <w:b w:val="0"/>
              <w:bCs w:val="0"/>
              <w:i w:val="0"/>
              <w:iCs w:val="0"/>
              <w:noProof/>
              <w:kern w:val="2"/>
              <w:lang/>
              <w14:ligatures w14:val="standardContextual"/>
            </w:rPr>
          </w:pPr>
          <w:hyperlink w:history="1" w:anchor="_Toc220681469">
            <w:r w:rsidRPr="00F43384">
              <w:rPr>
                <w:rStyle w:val="Hiperhivatkozs"/>
                <w:noProof/>
              </w:rPr>
              <w:t>10.</w:t>
            </w:r>
            <w:r>
              <w:rPr>
                <w:rFonts w:cstheme="minorBidi"/>
                <w:b w:val="0"/>
                <w:bCs w:val="0"/>
                <w:i w:val="0"/>
                <w:iCs w:val="0"/>
                <w:noProof/>
                <w:kern w:val="2"/>
                <w:lang/>
                <w14:ligatures w14:val="standardContextual"/>
              </w:rPr>
              <w:tab/>
            </w:r>
            <w:r w:rsidRPr="00F43384">
              <w:rPr>
                <w:rStyle w:val="Hiperhivatkozs"/>
                <w:noProof/>
              </w:rPr>
              <w:t>Transelectrica</w:t>
            </w:r>
            <w:r>
              <w:rPr>
                <w:noProof/>
                <w:webHidden/>
              </w:rPr>
              <w:tab/>
            </w:r>
            <w:r>
              <w:rPr>
                <w:noProof/>
                <w:webHidden/>
              </w:rPr>
              <w:fldChar w:fldCharType="begin"/>
            </w:r>
            <w:r>
              <w:rPr>
                <w:noProof/>
                <w:webHidden/>
              </w:rPr>
              <w:instrText xml:space="preserve"> PAGEREF _Toc220681469 \h </w:instrText>
            </w:r>
            <w:r>
              <w:rPr>
                <w:noProof/>
                <w:webHidden/>
              </w:rPr>
            </w:r>
            <w:r>
              <w:rPr>
                <w:noProof/>
                <w:webHidden/>
              </w:rPr>
              <w:fldChar w:fldCharType="separate"/>
            </w:r>
            <w:r>
              <w:rPr>
                <w:noProof/>
                <w:webHidden/>
              </w:rPr>
              <w:t>7</w:t>
            </w:r>
            <w:r>
              <w:rPr>
                <w:noProof/>
                <w:webHidden/>
              </w:rPr>
              <w:fldChar w:fldCharType="end"/>
            </w:r>
          </w:hyperlink>
        </w:p>
        <w:p w:rsidR="799E5D96" w:rsidP="799E5D96" w:rsidRDefault="799E5D96" w14:paraId="6AFF0DE0" w14:textId="49A9DE37">
          <w:pPr>
            <w:pStyle w:val="TJ1"/>
            <w:tabs>
              <w:tab w:val="left" w:pos="390"/>
              <w:tab w:val="right" w:leader="dot" w:pos="9285"/>
            </w:tabs>
            <w:rPr>
              <w:rStyle w:val="Hiperhivatkozs"/>
            </w:rPr>
          </w:pPr>
          <w:r>
            <w:fldChar w:fldCharType="end"/>
          </w:r>
        </w:p>
      </w:sdtContent>
    </w:sdt>
    <w:p w:rsidR="0012099C" w:rsidP="3D3D809A" w:rsidRDefault="0012099C" w14:paraId="54486E88" w14:textId="7BE510CA">
      <w:pPr>
        <w:pStyle w:val="TJ1"/>
        <w:tabs>
          <w:tab w:val="left" w:pos="480"/>
          <w:tab w:val="right" w:leader="dot" w:pos="9285"/>
        </w:tabs>
        <w:rPr>
          <w:rStyle w:val="Hiperhivatkozs"/>
          <w:noProof/>
          <w:kern w:val="2"/>
          <w14:ligatures w14:val="standardContextual"/>
        </w:rPr>
      </w:pPr>
    </w:p>
    <w:p w:rsidR="00AC6725" w:rsidP="0A478607" w:rsidRDefault="00AC6725" w14:paraId="06647A8E" w14:textId="79C5300B">
      <w:pPr>
        <w:pStyle w:val="TJ1"/>
        <w:tabs>
          <w:tab w:val="left" w:pos="480"/>
          <w:tab w:val="right" w:leader="dot" w:pos="9285"/>
        </w:tabs>
        <w:rPr>
          <w:rStyle w:val="Hiperhivatkozs"/>
          <w:noProof/>
          <w:kern w:val="2"/>
          <w:lang w:eastAsia="en-GB"/>
          <w14:ligatures w14:val="standardContextual"/>
        </w:rPr>
      </w:pPr>
    </w:p>
    <w:p w:rsidR="00D46052" w:rsidRDefault="00D46052" w14:paraId="01D00901" w14:textId="57BE4BC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006F03" w:rsidP="54C48B70" w:rsidRDefault="799E5D96" w14:paraId="3B6A9FD0" w14:textId="572C2450">
      <w:pPr>
        <w:pStyle w:val="Cmsor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220681456" w:id="19"/>
      <w:bookmarkEnd w:id="7"/>
      <w:bookmarkEnd w:id="8"/>
      <w:bookmarkEnd w:id="9"/>
      <w:bookmarkEnd w:id="10"/>
      <w:bookmarkEnd w:id="11"/>
      <w:bookmarkEnd w:id="12"/>
      <w:r>
        <w:lastRenderedPageBreak/>
        <w:t>Introduction</w:t>
      </w:r>
      <w:bookmarkStart w:name="_Toc470688454" w:id="20"/>
      <w:bookmarkStart w:name="_Toc470689108" w:id="21"/>
      <w:bookmarkEnd w:id="13"/>
      <w:bookmarkEnd w:id="14"/>
      <w:bookmarkEnd w:id="15"/>
      <w:bookmarkEnd w:id="16"/>
      <w:bookmarkEnd w:id="17"/>
      <w:bookmarkEnd w:id="18"/>
      <w:bookmarkEnd w:id="19"/>
      <w:bookmarkEnd w:id="20"/>
      <w:bookmarkEnd w:id="21"/>
    </w:p>
    <w:p w:rsidR="3946F685" w:rsidP="3946F685" w:rsidRDefault="54C48B70" w14:paraId="584C4529" w14:textId="230D515D">
      <w:r w:rsidRPr="54C48B70">
        <w:rPr>
          <w:rFonts w:eastAsia="Arial" w:cs="Arial"/>
          <w:color w:val="000000" w:themeColor="text1"/>
        </w:rPr>
        <w:t xml:space="preserve">This annex contains the required information for each Core TSO that has applied capacity reductions for its CNECs in more than 1% of ID CC MTUs of the analysed quarter as described per Article 18(12). </w:t>
      </w:r>
      <w:r w:rsidRPr="54C48B70">
        <w:rPr>
          <w:rFonts w:eastAsia="Arial" w:cs="Arial"/>
        </w:rPr>
        <w:t xml:space="preserve"> </w:t>
      </w:r>
    </w:p>
    <w:bookmarkEnd w:id="6"/>
    <w:p w:rsidR="54C48B70" w:rsidRDefault="54C48B70" w14:paraId="661E246D" w14:textId="5E8EDC0F">
      <w:r>
        <w:br w:type="page"/>
      </w:r>
    </w:p>
    <w:p w:rsidRPr="00272671" w:rsidR="00E313E3" w:rsidP="00272671" w:rsidRDefault="7AE538F3" w14:paraId="0D8124DD" w14:textId="4D00C96F">
      <w:pPr>
        <w:pStyle w:val="Cmsor1"/>
      </w:pPr>
      <w:bookmarkStart w:name="_Toc73696910" w:id="22"/>
      <w:bookmarkStart w:name="_Toc220681457" w:id="23"/>
      <w:r>
        <w:lastRenderedPageBreak/>
        <w:t>CEPS</w:t>
      </w:r>
      <w:bookmarkEnd w:id="22"/>
      <w:bookmarkEnd w:id="23"/>
    </w:p>
    <w:p w:rsidR="7AE538F3" w:rsidP="000C18CB" w:rsidRDefault="7AE538F3" w14:paraId="34A06075" w14:textId="3BF4BA3C">
      <w:pPr>
        <w:rPr>
          <w:rFonts w:eastAsia="Arial"/>
        </w:rPr>
      </w:pPr>
      <w:r w:rsidRPr="7AE538F3">
        <w:rPr>
          <w:rFonts w:eastAsia="Arial"/>
        </w:rPr>
        <w:t>During the fourth quarter of 2025, the Czech transmission system operator (ČEPS) applied the Individual Validation Adjustment (IVA) procedure a total of 504 times in 274 distinct MTUs.</w:t>
      </w:r>
    </w:p>
    <w:p w:rsidR="7AE538F3" w:rsidP="000C18CB" w:rsidRDefault="7AE538F3" w14:paraId="54FAB1DD" w14:textId="57054000">
      <w:pPr>
        <w:rPr>
          <w:rFonts w:eastAsia="Arial"/>
        </w:rPr>
      </w:pPr>
      <w:r w:rsidRPr="7AE538F3">
        <w:rPr>
          <w:rFonts w:eastAsia="Arial"/>
        </w:rPr>
        <w:t>These adjustments were exclusively related to the V404, V497, V443 and V444 interconnection lines located in the CZ–PL–SK corner of the grid—an area consistently subject to high transit flow pressure.</w:t>
      </w:r>
    </w:p>
    <w:p w:rsidR="7AE538F3" w:rsidP="000C18CB" w:rsidRDefault="7AE538F3" w14:paraId="0EA84C4F" w14:textId="2FE617FF">
      <w:pPr>
        <w:rPr>
          <w:rFonts w:eastAsia="Arial"/>
        </w:rPr>
      </w:pPr>
      <w:r w:rsidRPr="7AE538F3">
        <w:rPr>
          <w:rFonts w:eastAsia="Arial"/>
        </w:rPr>
        <w:t>A significant portion of the IVA applications stemmed from the fact that these lines were already heavily utilized in the day-ahead market, despite meeting the 70% cross-zonal capacity criterion. This pre-existing usage limited operational flexibility and, in several cases, triggered the need for IVA due to insufficient margin for secure operation.</w:t>
      </w:r>
    </w:p>
    <w:p w:rsidR="7AE538F3" w:rsidP="000C18CB" w:rsidRDefault="7AE538F3" w14:paraId="789E7970" w14:textId="77CC3CCF">
      <w:pPr>
        <w:rPr>
          <w:rFonts w:eastAsia="Arial"/>
        </w:rPr>
      </w:pPr>
      <w:r w:rsidRPr="7AE538F3">
        <w:rPr>
          <w:rFonts w:eastAsia="Arial"/>
        </w:rPr>
        <w:t xml:space="preserve">In this period (Q4/2025), one of the two 400 kV cross-zonal connections between the CZ and AT bidding zones was undergoing planned maintenance, and the remaining one was also subject to a temporary outage related to maintenance and partial upgrades. </w:t>
      </w:r>
      <w:proofErr w:type="gramStart"/>
      <w:r w:rsidRPr="7AE538F3">
        <w:rPr>
          <w:rFonts w:eastAsia="Arial"/>
        </w:rPr>
        <w:t>As a consequence</w:t>
      </w:r>
      <w:proofErr w:type="gramEnd"/>
      <w:r w:rsidRPr="7AE538F3">
        <w:rPr>
          <w:rFonts w:eastAsia="Arial"/>
        </w:rPr>
        <w:t>, there was a period during which no 400 kV connection between the two bidding zones was available. During this time, all market flows in the highly in-demand direction from Western to Southeastern Europe were redirected to parallel transmission paths—primarily through the 220 kV cross-zonal lines between CZ and AT and through all available cross-zonal lines along the CZ–SK border. The resulting grid situation is illustrated in the accompanying figure (with lines in planned outage marked in blue and lines with IVA applications marked in red).</w:t>
      </w:r>
    </w:p>
    <w:p w:rsidR="7AE538F3" w:rsidP="000C18CB" w:rsidRDefault="7AE538F3" w14:paraId="10DABD1F" w14:textId="75C47242">
      <w:pPr>
        <w:rPr>
          <w:rFonts w:eastAsia="Arial"/>
        </w:rPr>
      </w:pPr>
      <w:r w:rsidRPr="7AE538F3">
        <w:rPr>
          <w:rFonts w:eastAsia="Arial"/>
        </w:rPr>
        <w:t>The increased frequency of IVA in Q4 reflects the operational challenges in a highly utilized grid region, while also underscoring ČEPS's proactive approach in adapting to forecast limitations and preserving grid security under pressure.</w:t>
      </w:r>
    </w:p>
    <w:p w:rsidRPr="003072D2" w:rsidR="7AE538F3" w:rsidP="000C18CB" w:rsidRDefault="7AE538F3" w14:paraId="37CFB408" w14:textId="50FD4B9C">
      <w:pPr>
        <w:rPr>
          <w:rFonts w:eastAsia="Arial"/>
        </w:rPr>
      </w:pPr>
      <w:r w:rsidRPr="7AE538F3">
        <w:rPr>
          <w:rFonts w:eastAsia="Arial"/>
        </w:rPr>
        <w:t xml:space="preserve">Starting in November, SEPS implemented its seasonal “winter” limit on the V404 Nošovice–Varín line, as it is not yet prepared to apply DLR, which would otherwise allow for higher utilization of this corridor. Since the beginning of the month, we have not observed any significant reductions. </w:t>
      </w:r>
      <w:r w:rsidRPr="7AE538F3">
        <w:rPr>
          <w:rFonts w:eastAsia="Arial"/>
          <w:sz w:val="19"/>
          <w:szCs w:val="19"/>
        </w:rPr>
        <w:t xml:space="preserve">In Q1/2026 we can see a significant drop in IVA use. </w:t>
      </w:r>
      <w:r w:rsidRPr="7AE538F3">
        <w:rPr>
          <w:rFonts w:eastAsia="Arial"/>
        </w:rPr>
        <w:t xml:space="preserve"> </w:t>
      </w:r>
    </w:p>
    <w:p w:rsidRPr="00272671" w:rsidR="03D1E99D" w:rsidP="00272671" w:rsidRDefault="799E5D96" w14:paraId="2E0D852A" w14:textId="0F9F936C">
      <w:pPr>
        <w:pStyle w:val="Cmsor1"/>
      </w:pPr>
      <w:bookmarkStart w:name="_Toc220681458" w:id="24"/>
      <w:r>
        <w:t>DAVinCy TSOs</w:t>
      </w:r>
      <w:bookmarkEnd w:id="24"/>
    </w:p>
    <w:p w:rsidR="4531C545" w:rsidP="4531C545" w:rsidRDefault="4531C545" w14:paraId="3FB1A505" w14:textId="4E6E8B7A">
      <w:pPr>
        <w:pStyle w:val="Cmsor2"/>
      </w:pPr>
      <w:bookmarkStart w:name="_Toc220681459" w:id="25"/>
      <w:r>
        <w:t>APG</w:t>
      </w:r>
      <w:bookmarkEnd w:id="25"/>
    </w:p>
    <w:p w:rsidR="03D1E99D" w:rsidP="00B74194" w:rsidRDefault="799E5D96" w14:paraId="39A4912F" w14:textId="6EE902FB">
      <w:pPr>
        <w:pStyle w:val="Cmsor2"/>
      </w:pPr>
      <w:bookmarkStart w:name="_Toc220681460" w:id="26"/>
      <w:r>
        <w:t>German TSOs</w:t>
      </w:r>
      <w:bookmarkEnd w:id="26"/>
    </w:p>
    <w:p w:rsidRPr="00B74194" w:rsidR="03D1E99D" w:rsidP="00B74194" w:rsidRDefault="799E5D96" w14:paraId="221AAB04" w14:textId="16E50386">
      <w:pPr>
        <w:pStyle w:val="Cmsor2"/>
      </w:pPr>
      <w:bookmarkStart w:name="_Toc220681461" w:id="27"/>
      <w:r>
        <w:t>TENNET TSO BV</w:t>
      </w:r>
      <w:bookmarkEnd w:id="27"/>
    </w:p>
    <w:p w:rsidRPr="00272671" w:rsidR="00E313E3" w:rsidP="00272671" w:rsidRDefault="0B7D601B" w14:paraId="14A5302E" w14:textId="228A799E">
      <w:pPr>
        <w:pStyle w:val="Cmsor1"/>
      </w:pPr>
      <w:bookmarkStart w:name="_Toc220681462" w:id="28"/>
      <w:r>
        <w:t>ELES</w:t>
      </w:r>
      <w:bookmarkEnd w:id="28"/>
    </w:p>
    <w:p w:rsidRPr="003072D2" w:rsidR="0B7D601B" w:rsidP="003072D2" w:rsidRDefault="0B7D601B" w14:paraId="0D9D9C99" w14:textId="1CD8116C">
      <w:pPr>
        <w:rPr>
          <w:b/>
          <w:bCs/>
        </w:rPr>
      </w:pPr>
      <w:r w:rsidRPr="003072D2">
        <w:rPr>
          <w:rFonts w:eastAsia="Arial"/>
          <w:b/>
          <w:bCs/>
          <w:lang w:val="en-GB"/>
        </w:rPr>
        <w:t xml:space="preserve">General measures to avoid cross-zonal capacity reductions in the future, as per </w:t>
      </w:r>
      <w:r w:rsidRPr="003072D2">
        <w:rPr>
          <w:rFonts w:eastAsia="Arial"/>
          <w:b/>
          <w:bCs/>
        </w:rPr>
        <w:t xml:space="preserve">Article 18(11)(b) </w:t>
      </w:r>
      <w:r w:rsidRPr="003072D2">
        <w:rPr>
          <w:rFonts w:eastAsia="Arial"/>
          <w:b/>
          <w:bCs/>
          <w:lang w:val="en-GB"/>
        </w:rPr>
        <w:t>of ID CCM:</w:t>
      </w:r>
    </w:p>
    <w:p w:rsidRPr="003072D2" w:rsidR="0B7D601B" w:rsidP="003072D2" w:rsidRDefault="0B7D601B" w14:paraId="399176F0" w14:textId="1955D46B">
      <w:pPr>
        <w:pStyle w:val="Listaszerbekezds"/>
        <w:numPr>
          <w:ilvl w:val="0"/>
          <w:numId w:val="24"/>
        </w:numPr>
        <w:rPr>
          <w:rFonts w:eastAsia="Arial"/>
        </w:rPr>
      </w:pPr>
      <w:r w:rsidRPr="003072D2">
        <w:rPr>
          <w:rFonts w:eastAsia="Arial"/>
        </w:rPr>
        <w:t xml:space="preserve">Improvement in congestion management – we will continue to improve the quality of our inputs for CORE ID CC </w:t>
      </w:r>
      <w:proofErr w:type="gramStart"/>
      <w:r w:rsidRPr="003072D2">
        <w:rPr>
          <w:rFonts w:eastAsia="Arial"/>
        </w:rPr>
        <w:t>in order to</w:t>
      </w:r>
      <w:proofErr w:type="gramEnd"/>
      <w:r w:rsidRPr="003072D2">
        <w:rPr>
          <w:rFonts w:eastAsia="Arial"/>
        </w:rPr>
        <w:t xml:space="preserve"> avoid unnecessary IVA application in case of errors in inputs files.</w:t>
      </w:r>
    </w:p>
    <w:p w:rsidRPr="003072D2" w:rsidR="0B7D601B" w:rsidP="003072D2" w:rsidRDefault="0B7D601B" w14:paraId="6D068409" w14:textId="28ACED3C">
      <w:pPr>
        <w:pStyle w:val="Listaszerbekezds"/>
        <w:numPr>
          <w:ilvl w:val="0"/>
          <w:numId w:val="24"/>
        </w:numPr>
        <w:rPr>
          <w:rFonts w:eastAsia="Arial"/>
        </w:rPr>
      </w:pPr>
      <w:r w:rsidRPr="003072D2">
        <w:rPr>
          <w:rFonts w:eastAsia="Arial"/>
        </w:rPr>
        <w:t xml:space="preserve">Network development and optimisation. </w:t>
      </w:r>
    </w:p>
    <w:p w:rsidRPr="003072D2" w:rsidR="003072D2" w:rsidP="003072D2" w:rsidRDefault="0B7D601B" w14:paraId="1FDFA48D" w14:textId="77777777">
      <w:pPr>
        <w:rPr>
          <w:b/>
          <w:bCs/>
        </w:rPr>
      </w:pPr>
      <w:r w:rsidRPr="003072D2">
        <w:rPr>
          <w:rFonts w:eastAsia="Arial"/>
          <w:b/>
          <w:bCs/>
          <w:lang w:val="en-GB"/>
        </w:rPr>
        <w:t xml:space="preserve">Detailed report and action plan describing how such deviations are expected to be alleviated and solved in the future </w:t>
      </w:r>
      <w:r w:rsidRPr="003072D2">
        <w:rPr>
          <w:rFonts w:eastAsia="Arial"/>
          <w:b/>
          <w:bCs/>
        </w:rPr>
        <w:t>as per Article 18(10)(h)(</w:t>
      </w:r>
      <w:proofErr w:type="spellStart"/>
      <w:r w:rsidRPr="003072D2">
        <w:rPr>
          <w:rFonts w:eastAsia="Arial"/>
          <w:b/>
          <w:bCs/>
        </w:rPr>
        <w:t>i</w:t>
      </w:r>
      <w:proofErr w:type="spellEnd"/>
      <w:r w:rsidRPr="003072D2">
        <w:rPr>
          <w:rFonts w:eastAsia="Arial"/>
          <w:b/>
          <w:bCs/>
        </w:rPr>
        <w:t>) of ID CCM</w:t>
      </w:r>
    </w:p>
    <w:p w:rsidR="0B7D601B" w:rsidP="003072D2" w:rsidRDefault="0B7D601B" w14:paraId="0F762A43" w14:textId="4656B254">
      <w:r w:rsidRPr="61BB5E6B" w:rsidR="61BB5E6B">
        <w:rPr>
          <w:rFonts w:eastAsia="Arial"/>
          <w:lang w:val="en-GB"/>
        </w:rPr>
        <w:t>In Q4 of 2025, ELES applied reduction in 12 % of MTU. 85 % of these reductions were applied on CNECs on AT-SI and HU-SI borders (</w:t>
      </w:r>
      <w:r w:rsidRPr="61BB5E6B" w:rsidR="61BB5E6B">
        <w:rPr>
          <w:rFonts w:eastAsia="Arial"/>
          <w:lang w:val="en-GB"/>
        </w:rPr>
        <w:t>Kainachtall</w:t>
      </w:r>
      <w:r w:rsidRPr="61BB5E6B" w:rsidR="61BB5E6B">
        <w:rPr>
          <w:rFonts w:eastAsia="Arial"/>
          <w:lang w:val="en-GB"/>
        </w:rPr>
        <w:t xml:space="preserve"> – Maribor 1&amp;2, Maribor-</w:t>
      </w:r>
      <w:r w:rsidRPr="61BB5E6B" w:rsidR="61BB5E6B">
        <w:rPr>
          <w:rFonts w:eastAsia="Arial"/>
          <w:lang w:val="en-GB"/>
        </w:rPr>
        <w:t>Cirkovce</w:t>
      </w:r>
      <w:r w:rsidRPr="61BB5E6B" w:rsidR="61BB5E6B">
        <w:rPr>
          <w:rFonts w:eastAsia="Arial"/>
          <w:lang w:val="en-GB"/>
        </w:rPr>
        <w:t xml:space="preserve"> 1&amp;2 and </w:t>
      </w:r>
      <w:r w:rsidRPr="61BB5E6B" w:rsidR="61BB5E6B">
        <w:rPr>
          <w:rFonts w:eastAsia="Arial"/>
          <w:lang w:val="en-GB"/>
        </w:rPr>
        <w:t>Cirkovce-Heviz</w:t>
      </w:r>
      <w:r w:rsidRPr="61BB5E6B" w:rsidR="61BB5E6B">
        <w:rPr>
          <w:rFonts w:eastAsia="Arial"/>
          <w:lang w:val="en-GB"/>
        </w:rPr>
        <w:t>). The remaining 15% of applied reductions were applied on CNECs on the HR-SI border (</w:t>
      </w:r>
      <w:r w:rsidRPr="61BB5E6B" w:rsidR="61BB5E6B">
        <w:rPr>
          <w:rFonts w:eastAsia="Arial"/>
          <w:lang w:val="en-GB"/>
        </w:rPr>
        <w:t>Divaca-Pehlin</w:t>
      </w:r>
      <w:r w:rsidRPr="61BB5E6B" w:rsidR="61BB5E6B">
        <w:rPr>
          <w:rFonts w:eastAsia="Arial"/>
          <w:lang w:val="en-GB"/>
        </w:rPr>
        <w:t xml:space="preserve"> and Krsko-</w:t>
      </w:r>
      <w:r w:rsidRPr="61BB5E6B" w:rsidR="61BB5E6B">
        <w:rPr>
          <w:rFonts w:eastAsia="Arial"/>
          <w:lang w:val="en-GB"/>
        </w:rPr>
        <w:t>Tumbri</w:t>
      </w:r>
      <w:r w:rsidRPr="61BB5E6B" w:rsidR="61BB5E6B">
        <w:rPr>
          <w:rFonts w:eastAsia="Arial"/>
          <w:lang w:val="en-GB"/>
        </w:rPr>
        <w:t xml:space="preserve"> 1&amp;2). The main reason for the above reductions at ELES lies in the fact, that we are in the cross-road of two CCR, which both aim to maximise capacities in order to fulfil 70% criteria in DA. Often, maximisation of the capacities in Italy North CCR have negative effect on the RAM of Slovenian elements in CORE CCR. This is mostly due to the fact, that we have a PST on the Slovenian – Italian border, that is used to maximise Italy North NTC values. Maximising capacities in DA often translates to low capacities available for Intraday.</w:t>
      </w:r>
    </w:p>
    <w:p w:rsidR="0B7D601B" w:rsidP="003072D2" w:rsidRDefault="0B7D601B" w14:paraId="6E1FEBA7" w14:textId="06C7AB18">
      <w:r w:rsidRPr="0B7D601B">
        <w:rPr>
          <w:rFonts w:eastAsia="Arial" w:cs="Arial"/>
          <w:lang w:val="en-GB"/>
        </w:rPr>
        <w:t>Our plan to improve the situation consists of the following:</w:t>
      </w:r>
    </w:p>
    <w:p w:rsidRPr="003072D2" w:rsidR="0B7D601B" w:rsidP="003072D2" w:rsidRDefault="0B7D601B" w14:paraId="5C65D0D6" w14:textId="6AC17A52">
      <w:pPr>
        <w:pStyle w:val="Listaszerbekezds"/>
        <w:numPr>
          <w:ilvl w:val="0"/>
          <w:numId w:val="25"/>
        </w:numPr>
        <w:rPr>
          <w:rFonts w:eastAsia="Arial"/>
        </w:rPr>
      </w:pPr>
      <w:r w:rsidRPr="003072D2">
        <w:rPr>
          <w:rFonts w:eastAsia="Arial"/>
        </w:rPr>
        <w:t xml:space="preserve">Additional training of operators and improvement of the local validation tool </w:t>
      </w:r>
      <w:proofErr w:type="gramStart"/>
      <w:r w:rsidRPr="003072D2">
        <w:rPr>
          <w:rFonts w:eastAsia="Arial"/>
        </w:rPr>
        <w:t>in order to</w:t>
      </w:r>
      <w:proofErr w:type="gramEnd"/>
      <w:r w:rsidRPr="003072D2">
        <w:rPr>
          <w:rFonts w:eastAsia="Arial"/>
        </w:rPr>
        <w:t xml:space="preserve"> improve the process and improve stability and reliability of the tool</w:t>
      </w:r>
    </w:p>
    <w:p w:rsidRPr="003072D2" w:rsidR="0B7D601B" w:rsidP="003072D2" w:rsidRDefault="0B7D601B" w14:paraId="6594677F" w14:textId="75BCB115">
      <w:pPr>
        <w:pStyle w:val="Listaszerbekezds"/>
        <w:numPr>
          <w:ilvl w:val="0"/>
          <w:numId w:val="25"/>
        </w:numPr>
        <w:rPr>
          <w:rFonts w:eastAsia="Arial"/>
        </w:rPr>
      </w:pPr>
      <w:r w:rsidRPr="003072D2">
        <w:rPr>
          <w:rFonts w:eastAsia="Arial"/>
        </w:rPr>
        <w:t xml:space="preserve">Analysis will be performed on accuracy of validation tool (e.g. comparing the flows considered during the validation and realised flows). Based on the result of the analysis, the validation tool reliability margin will be adjusted </w:t>
      </w:r>
      <w:proofErr w:type="gramStart"/>
      <w:r w:rsidRPr="003072D2">
        <w:rPr>
          <w:rFonts w:eastAsia="Arial"/>
        </w:rPr>
        <w:t>in order to</w:t>
      </w:r>
      <w:proofErr w:type="gramEnd"/>
      <w:r w:rsidRPr="003072D2">
        <w:rPr>
          <w:rFonts w:eastAsia="Arial"/>
        </w:rPr>
        <w:t xml:space="preserve"> decrease the level of IVA application.</w:t>
      </w:r>
    </w:p>
    <w:p w:rsidRPr="003072D2" w:rsidR="0B7D601B" w:rsidP="003072D2" w:rsidRDefault="0B7D601B" w14:paraId="0ADBE963" w14:textId="3074B36D">
      <w:pPr>
        <w:pStyle w:val="Listaszerbekezds"/>
        <w:numPr>
          <w:ilvl w:val="0"/>
          <w:numId w:val="25"/>
        </w:numPr>
        <w:rPr>
          <w:rFonts w:eastAsia="Arial"/>
        </w:rPr>
      </w:pPr>
      <w:r w:rsidRPr="003072D2">
        <w:rPr>
          <w:rFonts w:eastAsia="Arial"/>
          <w:lang w:val="en-IE"/>
        </w:rPr>
        <w:t xml:space="preserve">Network development and optimisation - </w:t>
      </w:r>
      <w:r w:rsidRPr="003072D2">
        <w:rPr>
          <w:rFonts w:eastAsia="Arial"/>
        </w:rPr>
        <w:t xml:space="preserve">For AT-SI border, we are in the process to obtain and install a static serous synchronous compensator (SSSC) in Podlog substation (currently planned for Q4 2026 or early 2027) </w:t>
      </w:r>
      <w:proofErr w:type="gramStart"/>
      <w:r w:rsidRPr="003072D2">
        <w:rPr>
          <w:rFonts w:eastAsia="Arial"/>
        </w:rPr>
        <w:t>in order to</w:t>
      </w:r>
      <w:proofErr w:type="gramEnd"/>
      <w:r w:rsidRPr="003072D2">
        <w:rPr>
          <w:rFonts w:eastAsia="Arial"/>
        </w:rPr>
        <w:t xml:space="preserve"> be able to redistribute and relieve the flows on the elements Kainachtal – Maribor and Obersielach- Podlog. For the Divaca – Pehlin line, we are still investigation different possibilities to increase capacities (SSSC or high temperature lines).</w:t>
      </w:r>
    </w:p>
    <w:p w:rsidRPr="003072D2" w:rsidR="0B7D601B" w:rsidP="003072D2" w:rsidRDefault="0B7D601B" w14:paraId="0761E4E0" w14:textId="6B82AAC8">
      <w:pPr>
        <w:pStyle w:val="Listaszerbekezds"/>
        <w:numPr>
          <w:ilvl w:val="0"/>
          <w:numId w:val="25"/>
        </w:numPr>
        <w:rPr>
          <w:rFonts w:eastAsia="Arial"/>
        </w:rPr>
      </w:pPr>
      <w:r w:rsidRPr="003072D2">
        <w:rPr>
          <w:rFonts w:eastAsia="Arial"/>
        </w:rPr>
        <w:t>In Q1-Q2 2026 ELES plans to implement DTR on all SI-HR tie-lines, that will presumably increase its Fmax in most of MTUs (expected positive impact on Divača-Pehlin tie-line)</w:t>
      </w:r>
    </w:p>
    <w:p w:rsidRPr="003072D2" w:rsidR="0B7D601B" w:rsidP="003072D2" w:rsidRDefault="0B7D601B" w14:paraId="1C5BDFF9" w14:textId="056159FC">
      <w:pPr>
        <w:pStyle w:val="Listaszerbekezds"/>
        <w:numPr>
          <w:ilvl w:val="0"/>
          <w:numId w:val="25"/>
        </w:numPr>
        <w:rPr>
          <w:rFonts w:eastAsia="Arial"/>
        </w:rPr>
      </w:pPr>
      <w:r w:rsidRPr="003072D2">
        <w:rPr>
          <w:rFonts w:eastAsia="Arial"/>
        </w:rPr>
        <w:t>Improve the outage planning coordination.</w:t>
      </w:r>
    </w:p>
    <w:p w:rsidRPr="006E1318" w:rsidR="00E313E3" w:rsidP="006E1318" w:rsidRDefault="799E5D96" w14:paraId="5E6018AB" w14:textId="337EC4FC">
      <w:pPr>
        <w:pStyle w:val="Cmsor1"/>
      </w:pPr>
      <w:bookmarkStart w:name="_Toc220681463" w:id="29"/>
      <w:r>
        <w:t>ELIA</w:t>
      </w:r>
      <w:bookmarkEnd w:id="29"/>
    </w:p>
    <w:p w:rsidRPr="006E1318" w:rsidR="03D1E99D" w:rsidP="006E1318" w:rsidRDefault="03A10B5B" w14:paraId="0147B8BA" w14:textId="24134136">
      <w:pPr>
        <w:pStyle w:val="Cmsor1"/>
      </w:pPr>
      <w:bookmarkStart w:name="_Toc220681464" w:id="30"/>
      <w:r>
        <w:t>HOPS</w:t>
      </w:r>
      <w:bookmarkEnd w:id="30"/>
    </w:p>
    <w:p w:rsidR="03A10B5B" w:rsidP="003072D2" w:rsidRDefault="03A10B5B" w14:paraId="7FFD285D" w14:textId="460DEF54">
      <w:r w:rsidRPr="03A10B5B">
        <w:rPr>
          <w:rFonts w:eastAsia="Times New Roman"/>
          <w:lang w:val="en-US"/>
        </w:rPr>
        <w:t>General measures to avoid cross-zonal capacity reductions in the future, as per Articles 18(10)(h)(i) and 20(</w:t>
      </w:r>
      <w:proofErr w:type="gramStart"/>
      <w:r w:rsidRPr="03A10B5B">
        <w:rPr>
          <w:rFonts w:eastAsia="Times New Roman"/>
          <w:lang w:val="en-US"/>
        </w:rPr>
        <w:t>11</w:t>
      </w:r>
      <w:proofErr w:type="gramEnd"/>
      <w:r w:rsidRPr="03A10B5B">
        <w:rPr>
          <w:rFonts w:eastAsia="Times New Roman"/>
          <w:lang w:val="en-US"/>
        </w:rPr>
        <w:t>)(b) of the ID CCM</w:t>
      </w:r>
      <w:r w:rsidRPr="03A10B5B">
        <w:rPr>
          <w:rFonts w:eastAsia="Times New Roman"/>
        </w:rPr>
        <w:t xml:space="preserve"> </w:t>
      </w:r>
    </w:p>
    <w:p w:rsidR="03A10B5B" w:rsidP="003072D2" w:rsidRDefault="03A10B5B" w14:paraId="1D150201" w14:textId="53AE20BE">
      <w:r w:rsidRPr="03A10B5B">
        <w:rPr>
          <w:rFonts w:eastAsia="Times New Roman"/>
          <w:lang w:val="en-US"/>
        </w:rPr>
        <w:t>General measures include, but are not limited to:</w:t>
      </w:r>
      <w:r w:rsidRPr="03A10B5B">
        <w:rPr>
          <w:rFonts w:eastAsia="Times New Roman"/>
        </w:rPr>
        <w:t xml:space="preserve"> </w:t>
      </w:r>
    </w:p>
    <w:p w:rsidR="03A10B5B" w:rsidP="003072D2" w:rsidRDefault="03A10B5B" w14:paraId="2FD6BBAF" w14:textId="5C1F2587">
      <w:pPr>
        <w:pStyle w:val="Listaszerbekezds"/>
        <w:numPr>
          <w:ilvl w:val="0"/>
          <w:numId w:val="26"/>
        </w:numPr>
      </w:pPr>
      <w:r w:rsidRPr="003072D2">
        <w:rPr>
          <w:rFonts w:eastAsia="Times New Roman"/>
          <w:lang w:val="en-US"/>
        </w:rPr>
        <w:t>Network development and optimization</w:t>
      </w:r>
      <w:r w:rsidRPr="003072D2">
        <w:rPr>
          <w:rFonts w:eastAsia="Times New Roman"/>
          <w:lang w:val="en-IE"/>
        </w:rPr>
        <w:t xml:space="preserve"> </w:t>
      </w:r>
    </w:p>
    <w:p w:rsidR="03A10B5B" w:rsidP="003072D2" w:rsidRDefault="03A10B5B" w14:paraId="78773D13" w14:textId="311C4E69">
      <w:r w:rsidRPr="03A10B5B">
        <w:rPr>
          <w:rFonts w:eastAsia="Times New Roman"/>
          <w:lang w:val="en-US"/>
        </w:rPr>
        <w:t>The goal is to increase the transmission capacity and reduce grid congestion. The measures to achieve these goals include strengthening and optimizing the existing network and the development of new infrastructure.</w:t>
      </w:r>
      <w:r w:rsidRPr="03A10B5B">
        <w:rPr>
          <w:rFonts w:eastAsia="Times New Roman"/>
        </w:rPr>
        <w:t xml:space="preserve"> </w:t>
      </w:r>
    </w:p>
    <w:p w:rsidR="03A10B5B" w:rsidP="003072D2" w:rsidRDefault="03A10B5B" w14:paraId="2911EBF0" w14:textId="0FA3A0A6">
      <w:pPr>
        <w:pStyle w:val="Listaszerbekezds"/>
        <w:numPr>
          <w:ilvl w:val="0"/>
          <w:numId w:val="26"/>
        </w:numPr>
      </w:pPr>
      <w:r w:rsidRPr="003072D2">
        <w:rPr>
          <w:rFonts w:eastAsia="Times New Roman"/>
          <w:lang w:val="en-US"/>
        </w:rPr>
        <w:t>Improvements concerning congestion management</w:t>
      </w:r>
      <w:r w:rsidRPr="003072D2">
        <w:rPr>
          <w:rFonts w:eastAsia="Times New Roman"/>
          <w:lang w:val="en-IE"/>
        </w:rPr>
        <w:t xml:space="preserve"> </w:t>
      </w:r>
    </w:p>
    <w:p w:rsidR="03A10B5B" w:rsidP="003072D2" w:rsidRDefault="03A10B5B" w14:paraId="13D5F9C6" w14:textId="73BB65AB">
      <w:r w:rsidRPr="03A10B5B">
        <w:rPr>
          <w:rFonts w:eastAsia="Times New Roman"/>
          <w:lang w:val="en-US"/>
        </w:rPr>
        <w:t xml:space="preserve">Core CCR coordinated improvements with coordinated actions to increase cross-zonal capacities (for example improvements of the outage planning coordination </w:t>
      </w:r>
      <w:proofErr w:type="gramStart"/>
      <w:r w:rsidRPr="03A10B5B">
        <w:rPr>
          <w:rFonts w:eastAsia="Times New Roman"/>
          <w:lang w:val="en-US"/>
        </w:rPr>
        <w:t>in order to</w:t>
      </w:r>
      <w:proofErr w:type="gramEnd"/>
      <w:r w:rsidRPr="03A10B5B">
        <w:rPr>
          <w:rFonts w:eastAsia="Times New Roman"/>
          <w:lang w:val="en-US"/>
        </w:rPr>
        <w:t xml:space="preserve"> increase flexibility of the grid). Introduction of additional effective remedial actions should help to relieve the congestion and therefore </w:t>
      </w:r>
      <w:proofErr w:type="gramStart"/>
      <w:r w:rsidRPr="03A10B5B">
        <w:rPr>
          <w:rFonts w:eastAsia="Times New Roman"/>
          <w:lang w:val="en-US"/>
        </w:rPr>
        <w:t>allows</w:t>
      </w:r>
      <w:proofErr w:type="gramEnd"/>
      <w:r w:rsidRPr="03A10B5B">
        <w:rPr>
          <w:rFonts w:eastAsia="Times New Roman"/>
          <w:lang w:val="en-US"/>
        </w:rPr>
        <w:t xml:space="preserve"> to reduce the number of IVA application. Also, inclusion of third countries could open further opportunities for HOPS (with planning process and implementation of remedial measures). Unscheduled allocated flows coming from commercial exchanges outside the Core CCR (Fuaf) </w:t>
      </w:r>
      <w:proofErr w:type="gramStart"/>
      <w:r w:rsidRPr="03A10B5B">
        <w:rPr>
          <w:rFonts w:eastAsia="Times New Roman"/>
          <w:lang w:val="en-US"/>
        </w:rPr>
        <w:t>has</w:t>
      </w:r>
      <w:proofErr w:type="gramEnd"/>
      <w:r w:rsidRPr="03A10B5B">
        <w:rPr>
          <w:rFonts w:eastAsia="Times New Roman"/>
          <w:lang w:val="en-US"/>
        </w:rPr>
        <w:t xml:space="preserve"> a strong impact on HOPS grid.</w:t>
      </w:r>
      <w:r w:rsidRPr="03A10B5B">
        <w:rPr>
          <w:rFonts w:eastAsia="Times New Roman"/>
        </w:rPr>
        <w:t xml:space="preserve"> </w:t>
      </w:r>
    </w:p>
    <w:p w:rsidR="03A10B5B" w:rsidP="003072D2" w:rsidRDefault="03A10B5B" w14:paraId="02B7BCC4" w14:textId="0C82FDA0">
      <w:r w:rsidRPr="03A10B5B">
        <w:rPr>
          <w:rFonts w:eastAsia="Times New Roman"/>
        </w:rPr>
        <w:t xml:space="preserve"> </w:t>
      </w:r>
    </w:p>
    <w:p w:rsidRPr="003072D2" w:rsidR="03A10B5B" w:rsidP="003072D2" w:rsidRDefault="03A10B5B" w14:paraId="6EE14A4C" w14:textId="040C618C">
      <w:r w:rsidRPr="03A10B5B">
        <w:rPr>
          <w:rFonts w:eastAsia="Times New Roman"/>
          <w:lang w:val="en-US"/>
        </w:rPr>
        <w:lastRenderedPageBreak/>
        <w:t>Detailed report and action plan describing how such deviations are expected to be alleviated and solved in the future</w:t>
      </w:r>
      <w:r w:rsidRPr="03A10B5B">
        <w:rPr>
          <w:rFonts w:eastAsia="Times New Roman"/>
        </w:rPr>
        <w:t xml:space="preserve"> </w:t>
      </w:r>
    </w:p>
    <w:p w:rsidRPr="003072D2" w:rsidR="03A10B5B" w:rsidP="003072D2" w:rsidRDefault="03A10B5B" w14:paraId="7AE3FAFB" w14:textId="24A4C941">
      <w:pPr>
        <w:rPr>
          <w:rFonts w:eastAsia="Times New Roman"/>
          <w:lang w:val="en-US"/>
        </w:rPr>
      </w:pPr>
      <w:r w:rsidRPr="003072D2">
        <w:rPr>
          <w:rFonts w:eastAsia="Times New Roman"/>
          <w:lang w:val="en-US"/>
        </w:rPr>
        <w:t xml:space="preserve">In the analysed quarter (Q4 2025), HOPS </w:t>
      </w:r>
      <w:proofErr w:type="gramStart"/>
      <w:r w:rsidRPr="003072D2">
        <w:rPr>
          <w:rFonts w:eastAsia="Times New Roman"/>
          <w:lang w:val="en-US"/>
        </w:rPr>
        <w:t>applied</w:t>
      </w:r>
      <w:proofErr w:type="gramEnd"/>
      <w:r w:rsidRPr="003072D2">
        <w:rPr>
          <w:rFonts w:eastAsia="Times New Roman"/>
          <w:lang w:val="en-US"/>
        </w:rPr>
        <w:t xml:space="preserve"> reduction to around 10,14% MTUs. For most MTUs, the reductions are applied to: </w:t>
      </w:r>
    </w:p>
    <w:p w:rsidR="03A10B5B" w:rsidP="003072D2" w:rsidRDefault="03A10B5B" w14:paraId="7E38AE54" w14:textId="2FDD52D3">
      <w:pPr>
        <w:pStyle w:val="Listaszerbekezds"/>
        <w:numPr>
          <w:ilvl w:val="0"/>
          <w:numId w:val="26"/>
        </w:numPr>
      </w:pPr>
      <w:r w:rsidRPr="003072D2">
        <w:rPr>
          <w:rFonts w:eastAsia="Times New Roman"/>
          <w:lang w:val="en-US"/>
        </w:rPr>
        <w:t xml:space="preserve">TL 220kV </w:t>
      </w:r>
      <w:proofErr w:type="spellStart"/>
      <w:r w:rsidRPr="003072D2">
        <w:rPr>
          <w:rFonts w:eastAsia="Times New Roman"/>
          <w:lang w:val="en-US"/>
        </w:rPr>
        <w:t>Zakucac</w:t>
      </w:r>
      <w:proofErr w:type="spellEnd"/>
      <w:r w:rsidRPr="003072D2">
        <w:rPr>
          <w:rFonts w:eastAsia="Times New Roman"/>
          <w:lang w:val="en-US"/>
        </w:rPr>
        <w:t xml:space="preserve"> - Mostar (0,77% MTUs, or around 7,26% of times of all HOPS applied reductions) </w:t>
      </w:r>
      <w:r w:rsidRPr="003072D2">
        <w:rPr>
          <w:rFonts w:eastAsia="Times New Roman"/>
          <w:lang w:val="en-IE"/>
        </w:rPr>
        <w:t xml:space="preserve"> </w:t>
      </w:r>
    </w:p>
    <w:p w:rsidR="03A10B5B" w:rsidP="003072D2" w:rsidRDefault="03A10B5B" w14:paraId="6357CDDF" w14:textId="3B21DC0F">
      <w:pPr>
        <w:pStyle w:val="Listaszerbekezds"/>
        <w:numPr>
          <w:ilvl w:val="0"/>
          <w:numId w:val="26"/>
        </w:numPr>
      </w:pPr>
      <w:r w:rsidRPr="003072D2">
        <w:rPr>
          <w:rFonts w:eastAsia="Times New Roman"/>
          <w:lang w:val="en-US"/>
        </w:rPr>
        <w:t xml:space="preserve">TL 400 kV </w:t>
      </w:r>
      <w:proofErr w:type="spellStart"/>
      <w:r w:rsidRPr="003072D2">
        <w:rPr>
          <w:rFonts w:eastAsia="Times New Roman"/>
          <w:lang w:val="en-US"/>
        </w:rPr>
        <w:t>Ernestinovo</w:t>
      </w:r>
      <w:proofErr w:type="spellEnd"/>
      <w:r w:rsidRPr="003072D2">
        <w:rPr>
          <w:rFonts w:eastAsia="Times New Roman"/>
          <w:lang w:val="en-US"/>
        </w:rPr>
        <w:t xml:space="preserve"> – Pecs 1 (0,18% MTUs, or around 1,71% of times of all HOPS applied reductions) </w:t>
      </w:r>
      <w:r w:rsidRPr="003072D2">
        <w:rPr>
          <w:rFonts w:eastAsia="Times New Roman"/>
          <w:lang w:val="en-IE"/>
        </w:rPr>
        <w:t xml:space="preserve"> </w:t>
      </w:r>
    </w:p>
    <w:p w:rsidR="03A10B5B" w:rsidP="003072D2" w:rsidRDefault="03A10B5B" w14:paraId="0FB08FF2" w14:textId="3F069126">
      <w:pPr>
        <w:pStyle w:val="Listaszerbekezds"/>
        <w:numPr>
          <w:ilvl w:val="0"/>
          <w:numId w:val="26"/>
        </w:numPr>
      </w:pPr>
      <w:r w:rsidRPr="003072D2">
        <w:rPr>
          <w:rFonts w:eastAsia="Times New Roman"/>
          <w:lang w:val="en-US"/>
        </w:rPr>
        <w:t xml:space="preserve">TL 400 kV </w:t>
      </w:r>
      <w:proofErr w:type="spellStart"/>
      <w:r w:rsidRPr="003072D2">
        <w:rPr>
          <w:rFonts w:eastAsia="Times New Roman"/>
          <w:lang w:val="en-US"/>
        </w:rPr>
        <w:t>Ernestinovo</w:t>
      </w:r>
      <w:proofErr w:type="spellEnd"/>
      <w:r w:rsidRPr="003072D2">
        <w:rPr>
          <w:rFonts w:eastAsia="Times New Roman"/>
          <w:lang w:val="en-US"/>
        </w:rPr>
        <w:t xml:space="preserve"> – Pecs 2 (0,14% MTUs, or around 1,28% of times of all HOPS applied reductions) </w:t>
      </w:r>
      <w:r w:rsidRPr="003072D2">
        <w:rPr>
          <w:rFonts w:eastAsia="Times New Roman"/>
          <w:lang w:val="en-IE"/>
        </w:rPr>
        <w:t xml:space="preserve"> </w:t>
      </w:r>
    </w:p>
    <w:p w:rsidRPr="003072D2" w:rsidR="003072D2" w:rsidP="003072D2" w:rsidRDefault="03A10B5B" w14:paraId="3FC3A3EA" w14:textId="77777777">
      <w:pPr>
        <w:pStyle w:val="Listaszerbekezds"/>
        <w:numPr>
          <w:ilvl w:val="0"/>
          <w:numId w:val="26"/>
        </w:numPr>
        <w:rPr>
          <w:rFonts w:eastAsia="Times New Roman"/>
          <w:lang w:val="en-US"/>
        </w:rPr>
      </w:pPr>
      <w:r w:rsidRPr="003072D2">
        <w:rPr>
          <w:rFonts w:eastAsia="Times New Roman"/>
          <w:lang w:val="en-US"/>
        </w:rPr>
        <w:t xml:space="preserve">TL  220kV </w:t>
      </w:r>
      <w:proofErr w:type="spellStart"/>
      <w:r w:rsidRPr="003072D2">
        <w:rPr>
          <w:rFonts w:eastAsia="Times New Roman"/>
          <w:lang w:val="en-US"/>
        </w:rPr>
        <w:t>Pehlin</w:t>
      </w:r>
      <w:proofErr w:type="spellEnd"/>
      <w:r w:rsidRPr="003072D2">
        <w:rPr>
          <w:rFonts w:eastAsia="Times New Roman"/>
          <w:lang w:val="en-US"/>
        </w:rPr>
        <w:t xml:space="preserve"> - </w:t>
      </w:r>
      <w:proofErr w:type="spellStart"/>
      <w:r w:rsidRPr="003072D2">
        <w:rPr>
          <w:rFonts w:eastAsia="Times New Roman"/>
          <w:lang w:val="en-US"/>
        </w:rPr>
        <w:t>Divaca</w:t>
      </w:r>
      <w:proofErr w:type="spellEnd"/>
      <w:r w:rsidRPr="003072D2">
        <w:rPr>
          <w:rFonts w:eastAsia="Times New Roman"/>
          <w:lang w:val="en-US"/>
        </w:rPr>
        <w:t xml:space="preserve"> (9,19% MTUs, or around 86,75% of times of all HOPS applied reductions)</w:t>
      </w:r>
    </w:p>
    <w:p w:rsidR="03A10B5B" w:rsidP="003072D2" w:rsidRDefault="03A10B5B" w14:paraId="4F978AF5" w14:textId="376BDB2A">
      <w:pPr>
        <w:pStyle w:val="Listaszerbekezds"/>
        <w:numPr>
          <w:ilvl w:val="0"/>
          <w:numId w:val="26"/>
        </w:numPr>
      </w:pPr>
      <w:r w:rsidRPr="003072D2">
        <w:rPr>
          <w:rFonts w:eastAsia="Times New Roman"/>
          <w:lang w:val="en-US"/>
        </w:rPr>
        <w:t xml:space="preserve">TL   220kV </w:t>
      </w:r>
      <w:proofErr w:type="spellStart"/>
      <w:r w:rsidRPr="003072D2">
        <w:rPr>
          <w:rFonts w:eastAsia="Times New Roman"/>
          <w:lang w:val="en-US"/>
        </w:rPr>
        <w:t>Zerjavinec</w:t>
      </w:r>
      <w:proofErr w:type="spellEnd"/>
      <w:r w:rsidRPr="003072D2">
        <w:rPr>
          <w:rFonts w:eastAsia="Times New Roman"/>
          <w:lang w:val="en-US"/>
        </w:rPr>
        <w:t xml:space="preserve"> - Podlog (0,23% MTUs, or around 2,14</w:t>
      </w:r>
      <w:proofErr w:type="gramStart"/>
      <w:r w:rsidRPr="003072D2">
        <w:rPr>
          <w:rFonts w:eastAsia="Times New Roman"/>
          <w:lang w:val="en-US"/>
        </w:rPr>
        <w:t>% of times</w:t>
      </w:r>
      <w:proofErr w:type="gramEnd"/>
      <w:r w:rsidRPr="003072D2">
        <w:rPr>
          <w:rFonts w:eastAsia="Times New Roman"/>
          <w:lang w:val="en-US"/>
        </w:rPr>
        <w:t xml:space="preserve"> of all HOPS applied reductions)</w:t>
      </w:r>
      <w:r w:rsidRPr="003072D2">
        <w:rPr>
          <w:rFonts w:eastAsia="Times New Roman"/>
          <w:lang w:val="en-IE"/>
        </w:rPr>
        <w:t xml:space="preserve"> </w:t>
      </w:r>
    </w:p>
    <w:p w:rsidR="03A10B5B" w:rsidP="003072D2" w:rsidRDefault="03A10B5B" w14:paraId="4AD0ABDC" w14:textId="68F7B0EC">
      <w:pPr>
        <w:pStyle w:val="Listaszerbekezds"/>
        <w:numPr>
          <w:ilvl w:val="0"/>
          <w:numId w:val="26"/>
        </w:numPr>
      </w:pPr>
      <w:r w:rsidRPr="003072D2">
        <w:rPr>
          <w:rFonts w:eastAsia="Times New Roman"/>
          <w:lang w:val="en-US"/>
        </w:rPr>
        <w:t xml:space="preserve">TL  400kV </w:t>
      </w:r>
      <w:proofErr w:type="spellStart"/>
      <w:r w:rsidRPr="003072D2">
        <w:rPr>
          <w:rFonts w:eastAsia="Times New Roman"/>
          <w:lang w:val="en-US"/>
        </w:rPr>
        <w:t>Tumbri</w:t>
      </w:r>
      <w:proofErr w:type="spellEnd"/>
      <w:r w:rsidRPr="003072D2">
        <w:rPr>
          <w:rFonts w:eastAsia="Times New Roman"/>
          <w:lang w:val="en-US"/>
        </w:rPr>
        <w:t xml:space="preserve"> - Krsko 1 (0,05% MTUs, or around 0,43% of times of all HOPS applied reductions)</w:t>
      </w:r>
      <w:r w:rsidRPr="003072D2">
        <w:rPr>
          <w:rFonts w:eastAsia="Times New Roman"/>
          <w:lang w:val="en-IE"/>
        </w:rPr>
        <w:t xml:space="preserve"> </w:t>
      </w:r>
    </w:p>
    <w:p w:rsidRPr="003072D2" w:rsidR="003072D2" w:rsidP="003072D2" w:rsidRDefault="03A10B5B" w14:paraId="2C9DAD99" w14:textId="77777777">
      <w:pPr>
        <w:pStyle w:val="Listaszerbekezds"/>
        <w:numPr>
          <w:ilvl w:val="0"/>
          <w:numId w:val="26"/>
        </w:numPr>
      </w:pPr>
      <w:r w:rsidRPr="003072D2">
        <w:rPr>
          <w:rFonts w:eastAsia="Times New Roman"/>
          <w:lang w:val="en-US"/>
        </w:rPr>
        <w:t xml:space="preserve">TL  400kV </w:t>
      </w:r>
      <w:proofErr w:type="spellStart"/>
      <w:r w:rsidRPr="003072D2">
        <w:rPr>
          <w:rFonts w:eastAsia="Times New Roman"/>
          <w:lang w:val="en-US"/>
        </w:rPr>
        <w:t>Tumbri</w:t>
      </w:r>
      <w:proofErr w:type="spellEnd"/>
      <w:r w:rsidRPr="003072D2">
        <w:rPr>
          <w:rFonts w:eastAsia="Times New Roman"/>
          <w:lang w:val="en-US"/>
        </w:rPr>
        <w:t xml:space="preserve"> - Krsko 2 (0,05% MTUs, or around 0,43% of times of all HOPS applied reductions)</w:t>
      </w:r>
    </w:p>
    <w:p w:rsidRPr="00D32193" w:rsidR="03A10B5B" w:rsidP="00D32193" w:rsidRDefault="03A10B5B" w14:paraId="5CF8BB2F" w14:textId="2CA6E9A9">
      <w:pPr>
        <w:rPr>
          <w:rFonts w:eastAsia="Times New Roman"/>
          <w:lang w:val="en-US"/>
        </w:rPr>
      </w:pPr>
      <w:r w:rsidRPr="003072D2">
        <w:rPr>
          <w:rFonts w:eastAsia="Times New Roman"/>
          <w:lang w:val="en-US"/>
        </w:rPr>
        <w:t xml:space="preserve">Applied reductions on network element are mostly low (less than 2,9% of Fmax), while for a few MTUs during October (BD20251005) higher values are applied on TL 400kV Ernestinovo - Pecs 1 &amp; 2 due to unsolvable overloads in the relevant grid area caused by unavailability of grid elements in the surrounding area, additionally under the influence of high exchanges between Core and non-Core countries (impact of uncoordinated flows coming from third countries, mainly from the direction of RS and BA). It is important to emphasize that energy needs increased during Q4 2025 in SEE with significant flows in the network towards SEE, which is why some reductions were applied during Q4 2025 to maintain a </w:t>
      </w:r>
      <w:proofErr w:type="gramStart"/>
      <w:r w:rsidRPr="003072D2">
        <w:rPr>
          <w:rFonts w:eastAsia="Times New Roman"/>
          <w:lang w:val="en-US"/>
        </w:rPr>
        <w:t>secured</w:t>
      </w:r>
      <w:proofErr w:type="gramEnd"/>
      <w:r w:rsidRPr="003072D2">
        <w:rPr>
          <w:rFonts w:eastAsia="Times New Roman"/>
          <w:lang w:val="en-US"/>
        </w:rPr>
        <w:t xml:space="preserve"> network. Such reductions are planned to be solved by developing and </w:t>
      </w:r>
      <w:r w:rsidRPr="00D32193">
        <w:rPr>
          <w:rFonts w:eastAsia="Times New Roman"/>
          <w:lang w:val="en-US"/>
        </w:rPr>
        <w:t>optimising</w:t>
      </w:r>
      <w:r w:rsidRPr="003072D2">
        <w:rPr>
          <w:rFonts w:eastAsia="Times New Roman"/>
          <w:lang w:val="en-US"/>
        </w:rPr>
        <w:t xml:space="preserve"> the transmission network. </w:t>
      </w:r>
    </w:p>
    <w:p w:rsidRPr="00D32193" w:rsidR="03A10B5B" w:rsidP="00D32193" w:rsidRDefault="70F185EC" w14:paraId="6DB71EC0" w14:textId="76A66EB8">
      <w:pPr>
        <w:rPr>
          <w:rFonts w:eastAsia="Times New Roman"/>
          <w:lang w:val="en-US"/>
        </w:rPr>
      </w:pPr>
      <w:r w:rsidRPr="00D32193">
        <w:rPr>
          <w:rFonts w:eastAsia="Times New Roman"/>
          <w:lang w:val="en-US"/>
        </w:rPr>
        <w:t>In Q2 of 2025, HOPS installed HTLS conductors on OHL 220 kV Brinje – VE Pađene that increases its maximum admissible power flow and improves available capacities</w:t>
      </w:r>
      <w:proofErr w:type="gramStart"/>
      <w:r w:rsidRPr="00D32193">
        <w:rPr>
          <w:rFonts w:eastAsia="Times New Roman"/>
          <w:lang w:val="en-US"/>
        </w:rPr>
        <w:t>, ,</w:t>
      </w:r>
      <w:proofErr w:type="gramEnd"/>
      <w:r w:rsidRPr="00D32193">
        <w:rPr>
          <w:rFonts w:eastAsia="Times New Roman"/>
          <w:lang w:val="en-US"/>
        </w:rPr>
        <w:t xml:space="preserve"> while the upgrade continued in Q4 2025 and Q1 2026 on OHL 220 kV Brinje – VE Pađene and OHL 220 kV Konjsko – Pađene after which the entire Brinje – VE Pađene – Konjsko section will have HTLS installed.</w:t>
      </w:r>
    </w:p>
    <w:p w:rsidRPr="00D32193" w:rsidR="03A10B5B" w:rsidP="00D32193" w:rsidRDefault="03A10B5B" w14:paraId="5B7F3430" w14:textId="28254CC2">
      <w:pPr>
        <w:rPr>
          <w:rFonts w:eastAsia="Times New Roman"/>
          <w:lang w:val="en-US"/>
        </w:rPr>
      </w:pPr>
      <w:r w:rsidRPr="00D32193">
        <w:rPr>
          <w:rFonts w:eastAsia="Times New Roman"/>
          <w:lang w:val="en-US"/>
        </w:rPr>
        <w:t>Also, following the ongoing investigation of various options for increasing capacity for the TL 220 kV Pehlin – Divača, it is planned to start installing HTLS conductors on TL 220 kV Pehlin – Divača in Q4 2026.</w:t>
      </w:r>
    </w:p>
    <w:p w:rsidR="03A10B5B" w:rsidP="03A10B5B" w:rsidRDefault="03A10B5B" w14:paraId="6B5B3E29" w14:textId="293360FD">
      <w:r w:rsidRPr="03A10B5B">
        <w:rPr>
          <w:rFonts w:eastAsia="Times New Roman"/>
          <w:lang w:val="en-US"/>
        </w:rPr>
        <w:t>Improvements are also expected with upcoming important processes such as coordinated validation capacities and Regional Operational Security Coordination.</w:t>
      </w:r>
    </w:p>
    <w:p w:rsidR="03D1E99D" w:rsidP="00B74194" w:rsidRDefault="799E5D96" w14:paraId="10797B3A" w14:textId="2A92EF3F">
      <w:pPr>
        <w:pStyle w:val="Cmsor1"/>
      </w:pPr>
      <w:bookmarkStart w:name="_Toc220681465" w:id="31"/>
      <w:r>
        <w:t>MAVIR</w:t>
      </w:r>
      <w:bookmarkEnd w:id="31"/>
    </w:p>
    <w:p w:rsidR="001D7083" w:rsidP="001D7083" w:rsidRDefault="001D7083" w14:paraId="2925FB61" w14:textId="77777777">
      <w:pPr>
        <w:pStyle w:val="Listaszerbekezds"/>
        <w:numPr>
          <w:ilvl w:val="0"/>
          <w:numId w:val="31"/>
        </w:numPr>
        <w:tabs>
          <w:tab w:val="left" w:pos="720"/>
        </w:tabs>
        <w:rPr>
          <w:b/>
          <w:lang w:eastAsia="nl-NL"/>
        </w:rPr>
      </w:pPr>
      <w:r>
        <w:rPr>
          <w:b/>
          <w:lang w:eastAsia="nl-NL"/>
        </w:rPr>
        <w:t>Explanation for the reductions applied by MAVIR in Q4, 2025</w:t>
      </w:r>
    </w:p>
    <w:p w:rsidR="001D7083" w:rsidP="001D7083" w:rsidRDefault="001D7083" w14:paraId="31297ED2" w14:textId="5C76B936">
      <w:pPr>
        <w:rPr>
          <w:lang w:eastAsia="nl-NL"/>
        </w:rPr>
      </w:pPr>
      <w:r>
        <w:rPr>
          <w:lang w:eastAsia="nl-NL"/>
        </w:rPr>
        <w:t xml:space="preserve">MAVIR performs the individual validation with the basic principle of determining CBCOs that can be potentially overloaded by a realistic market outcome. In case a CBCO which cannot be solved by available remedial actions from contingency analysis but selected to be potentially overloaded is identified, IVA with the objective of minimizing the loss of the flow-based domain volume is optimized and calculated </w:t>
      </w:r>
      <w:proofErr w:type="gramStart"/>
      <w:r>
        <w:rPr>
          <w:lang w:eastAsia="nl-NL"/>
        </w:rPr>
        <w:t>in order to</w:t>
      </w:r>
      <w:proofErr w:type="gramEnd"/>
      <w:r>
        <w:rPr>
          <w:lang w:eastAsia="nl-NL"/>
        </w:rPr>
        <w:t xml:space="preserve"> relieve the potential overload. In Q4, there were 8 business days with IVA applied to CBCOs by MAVIR due to two different factors. One is the pattern of significant power flows from import direction combined with strong transit flows from north-west to south-east and vice-versa. The hours with strong transit flows </w:t>
      </w:r>
      <w:r>
        <w:rPr>
          <w:lang w:eastAsia="nl-NL"/>
        </w:rPr>
        <w:lastRenderedPageBreak/>
        <w:t xml:space="preserve">can be further exacerbated with planned special grid outage situation for which there is no other solution, but IVA </w:t>
      </w:r>
      <w:proofErr w:type="spellStart"/>
      <w:proofErr w:type="gramStart"/>
      <w:r>
        <w:rPr>
          <w:lang w:eastAsia="nl-NL"/>
        </w:rPr>
        <w:t>application.There</w:t>
      </w:r>
      <w:proofErr w:type="spellEnd"/>
      <w:proofErr w:type="gramEnd"/>
      <w:r>
        <w:rPr>
          <w:lang w:eastAsia="nl-NL"/>
        </w:rPr>
        <w:t xml:space="preserve"> were 19 distinct hours (</w:t>
      </w:r>
      <w:r>
        <w:rPr>
          <w:rFonts w:eastAsia="Arial"/>
        </w:rPr>
        <w:t>or 1.15% of the 1656 60MTUs</w:t>
      </w:r>
      <w:r>
        <w:rPr>
          <w:lang w:eastAsia="nl-NL"/>
        </w:rPr>
        <w:t xml:space="preserve">) with IVA application. </w:t>
      </w:r>
    </w:p>
    <w:p w:rsidR="001D7083" w:rsidP="001D7083" w:rsidRDefault="001D7083" w14:paraId="1FF31C2D" w14:textId="77777777">
      <w:pPr>
        <w:spacing w:after="200"/>
        <w:rPr>
          <w:lang w:eastAsia="nl-NL"/>
        </w:rPr>
      </w:pPr>
    </w:p>
    <w:p w:rsidR="001D7083" w:rsidP="001D7083" w:rsidRDefault="001D7083" w14:paraId="4C8CB4AD" w14:textId="77777777">
      <w:pPr>
        <w:spacing w:after="200"/>
        <w:rPr>
          <w:rFonts w:eastAsia="Arial" w:cs="Arial"/>
        </w:rPr>
      </w:pPr>
      <w:r>
        <w:rPr>
          <w:rFonts w:eastAsia="Arial" w:cs="Arial"/>
        </w:rPr>
        <w:t xml:space="preserve">MAVIR aims to apply the following measures </w:t>
      </w:r>
      <w:proofErr w:type="gramStart"/>
      <w:r>
        <w:rPr>
          <w:rFonts w:eastAsia="Arial" w:cs="Arial"/>
        </w:rPr>
        <w:t>in order to</w:t>
      </w:r>
      <w:proofErr w:type="gramEnd"/>
      <w:r>
        <w:rPr>
          <w:rFonts w:eastAsia="Arial" w:cs="Arial"/>
        </w:rPr>
        <w:t xml:space="preserve"> minimize the application of IVAs and, as required by article 20(14)(b) and 20(15) DA CCM, avoid cross-zonal capacity reductions in the future:</w:t>
      </w:r>
    </w:p>
    <w:p w:rsidRPr="001D7083" w:rsidR="001D7083" w:rsidP="005577FD" w:rsidRDefault="001D7083" w14:paraId="0B750241" w14:textId="77777777">
      <w:pPr>
        <w:numPr>
          <w:ilvl w:val="0"/>
          <w:numId w:val="32"/>
        </w:numPr>
        <w:rPr>
          <w:rFonts w:eastAsia="Arial" w:cs="Arial"/>
          <w:bCs/>
        </w:rPr>
      </w:pPr>
      <w:r w:rsidRPr="001D7083">
        <w:rPr>
          <w:rFonts w:cs="Arial"/>
          <w:bCs/>
          <w:szCs w:val="22"/>
          <w:lang w:val="en-GB"/>
        </w:rPr>
        <w:t xml:space="preserve">Consideration of effective topological remedial actions </w:t>
      </w:r>
    </w:p>
    <w:p w:rsidR="001D7083" w:rsidP="001D7083" w:rsidRDefault="001D7083" w14:paraId="19EE9123" w14:textId="77777777">
      <w:pPr>
        <w:rPr>
          <w:rFonts w:eastAsia="Arial" w:cs="Arial"/>
          <w:bCs/>
        </w:rPr>
      </w:pPr>
    </w:p>
    <w:p w:rsidRPr="001D7083" w:rsidR="001D7083" w:rsidP="001D7083" w:rsidRDefault="001D7083" w14:paraId="02126733" w14:textId="7C350ADC">
      <w:pPr>
        <w:rPr>
          <w:rFonts w:eastAsia="Arial" w:cs="Arial"/>
          <w:bCs/>
        </w:rPr>
      </w:pPr>
      <w:r w:rsidRPr="001D7083">
        <w:rPr>
          <w:rFonts w:cs="Arial"/>
          <w:bCs/>
          <w:szCs w:val="22"/>
          <w:lang w:val="en-GB"/>
        </w:rPr>
        <w:t xml:space="preserve">Based on growing operational experience, methodological improvement in the IVA calculation by excluding areas of the domain in which the concerned overloaded element to the amount of IVA is less sensitive. </w:t>
      </w:r>
      <w:r w:rsidRPr="001D7083">
        <w:rPr>
          <w:rFonts w:cs="Arial"/>
          <w:bCs/>
          <w:szCs w:val="22"/>
          <w:lang w:val="en-GB" w:eastAsia="nl-NL"/>
        </w:rPr>
        <w:t xml:space="preserve">Note that the operational experience also shows better judgement of IVA applications as to </w:t>
      </w:r>
      <w:r w:rsidRPr="001D7083">
        <w:rPr>
          <w:rFonts w:eastAsia="Arial" w:cs="Arial"/>
          <w:bCs/>
        </w:rPr>
        <w:t>the trade-off between operational security and offered capacities.</w:t>
      </w:r>
    </w:p>
    <w:p w:rsidR="001D7083" w:rsidP="001D7083" w:rsidRDefault="001D7083" w14:paraId="170DB691" w14:textId="77777777">
      <w:pPr>
        <w:rPr>
          <w:rFonts w:eastAsia="Arial" w:cs="Arial"/>
          <w:bCs/>
        </w:rPr>
      </w:pPr>
    </w:p>
    <w:p w:rsidR="001D7083" w:rsidP="001D7083" w:rsidRDefault="001D7083" w14:paraId="0421A482" w14:textId="77777777">
      <w:pPr>
        <w:spacing w:after="200"/>
        <w:rPr>
          <w:lang w:eastAsia="nl-NL"/>
        </w:rPr>
      </w:pPr>
      <w:r>
        <w:rPr>
          <w:lang w:eastAsia="nl-NL"/>
        </w:rPr>
        <w:t>There</w:t>
      </w:r>
      <w:r w:rsidRPr="00FC105E">
        <w:rPr>
          <w:lang w:eastAsia="nl-NL"/>
        </w:rPr>
        <w:t xml:space="preserve"> are several internal projects and cross-border projects planned with Slovakia, Romania and Serbia to further increase capacities available for the commercial cross-border trades in the da</w:t>
      </w:r>
      <w:r>
        <w:rPr>
          <w:lang w:eastAsia="nl-NL"/>
        </w:rPr>
        <w:t>y</w:t>
      </w:r>
      <w:r w:rsidRPr="00FC105E">
        <w:rPr>
          <w:lang w:eastAsia="nl-NL"/>
        </w:rPr>
        <w:t>-head and intraday market timeframes.</w:t>
      </w:r>
      <w:r>
        <w:rPr>
          <w:lang w:eastAsia="nl-NL"/>
        </w:rPr>
        <w:t xml:space="preserve"> The planned cross-border investments by 2030 are the following, all included in TYNDP 2024:</w:t>
      </w:r>
    </w:p>
    <w:p w:rsidR="001D7083" w:rsidP="001D7083" w:rsidRDefault="001D7083" w14:paraId="19B0D2D1" w14:textId="77777777">
      <w:pPr>
        <w:pStyle w:val="Listaszerbekezds"/>
        <w:numPr>
          <w:ilvl w:val="0"/>
          <w:numId w:val="33"/>
        </w:numPr>
        <w:spacing w:after="200" w:line="276" w:lineRule="auto"/>
        <w:rPr>
          <w:lang w:eastAsia="nl-NL"/>
        </w:rPr>
      </w:pPr>
      <w:r>
        <w:rPr>
          <w:lang w:eastAsia="nl-NL"/>
        </w:rPr>
        <w:t xml:space="preserve">Second circuit of the 400 kV OHL </w:t>
      </w:r>
      <w:proofErr w:type="spellStart"/>
      <w:r>
        <w:rPr>
          <w:lang w:eastAsia="nl-NL"/>
        </w:rPr>
        <w:t>Sajoivanka</w:t>
      </w:r>
      <w:proofErr w:type="spellEnd"/>
      <w:r>
        <w:rPr>
          <w:lang w:eastAsia="nl-NL"/>
        </w:rPr>
        <w:t xml:space="preserve"> (HU) – </w:t>
      </w:r>
      <w:proofErr w:type="spellStart"/>
      <w:r>
        <w:rPr>
          <w:lang w:eastAsia="nl-NL"/>
        </w:rPr>
        <w:t>Rimavská</w:t>
      </w:r>
      <w:proofErr w:type="spellEnd"/>
      <w:r>
        <w:rPr>
          <w:lang w:eastAsia="nl-NL"/>
        </w:rPr>
        <w:t xml:space="preserve"> Sobota (SK) – (2028)</w:t>
      </w:r>
    </w:p>
    <w:p w:rsidR="001D7083" w:rsidP="001D7083" w:rsidRDefault="001D7083" w14:paraId="2F944942" w14:textId="77777777">
      <w:pPr>
        <w:pStyle w:val="Listaszerbekezds"/>
        <w:numPr>
          <w:ilvl w:val="1"/>
          <w:numId w:val="33"/>
        </w:numPr>
        <w:spacing w:after="200" w:line="276" w:lineRule="auto"/>
        <w:rPr>
          <w:lang w:eastAsia="nl-NL"/>
        </w:rPr>
      </w:pPr>
      <w:r>
        <w:rPr>
          <w:lang w:eastAsia="nl-NL"/>
        </w:rPr>
        <w:t>This grid investment should help to reduce the frequency of 70%minRAM non-fulfilment for [SK-HU] Levice – God [DIR] [HU] and [SK-</w:t>
      </w:r>
      <w:proofErr w:type="gramStart"/>
      <w:r>
        <w:rPr>
          <w:lang w:eastAsia="nl-NL"/>
        </w:rPr>
        <w:t>HU]  R.</w:t>
      </w:r>
      <w:proofErr w:type="gramEnd"/>
      <w:r>
        <w:rPr>
          <w:lang w:eastAsia="nl-NL"/>
        </w:rPr>
        <w:t xml:space="preserve"> Sobota – </w:t>
      </w:r>
      <w:proofErr w:type="spellStart"/>
      <w:r>
        <w:rPr>
          <w:lang w:eastAsia="nl-NL"/>
        </w:rPr>
        <w:t>Sajoivanka</w:t>
      </w:r>
      <w:proofErr w:type="spellEnd"/>
      <w:r>
        <w:rPr>
          <w:lang w:eastAsia="nl-NL"/>
        </w:rPr>
        <w:t xml:space="preserve"> [DIR] [HU] cross-border CNEC</w:t>
      </w:r>
    </w:p>
    <w:p w:rsidRPr="00FC105E" w:rsidR="001D7083" w:rsidP="001D7083" w:rsidRDefault="001D7083" w14:paraId="66CB3EB1" w14:textId="77777777">
      <w:pPr>
        <w:pStyle w:val="Listaszerbekezds"/>
        <w:numPr>
          <w:ilvl w:val="0"/>
          <w:numId w:val="33"/>
        </w:numPr>
        <w:spacing w:after="200" w:line="276" w:lineRule="auto"/>
        <w:rPr>
          <w:lang w:val="es-ES" w:eastAsia="nl-NL"/>
        </w:rPr>
      </w:pPr>
      <w:r w:rsidRPr="00FC105E">
        <w:rPr>
          <w:lang w:val="es-ES" w:eastAsia="nl-NL"/>
        </w:rPr>
        <w:t>New 400 kV OHL Debrecen Del (HU) - Oradea Sud (RO) – (2030)</w:t>
      </w:r>
    </w:p>
    <w:p w:rsidR="001D7083" w:rsidP="001D7083" w:rsidRDefault="001D7083" w14:paraId="1E3104B7" w14:textId="77777777">
      <w:pPr>
        <w:pStyle w:val="Listaszerbekezds"/>
        <w:numPr>
          <w:ilvl w:val="1"/>
          <w:numId w:val="33"/>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1D7083" w:rsidP="001D7083" w:rsidRDefault="001D7083" w14:paraId="598E8FFC" w14:textId="77777777">
      <w:pPr>
        <w:pStyle w:val="Listaszerbekezds"/>
        <w:numPr>
          <w:ilvl w:val="0"/>
          <w:numId w:val="33"/>
        </w:numPr>
        <w:spacing w:after="200" w:line="276" w:lineRule="auto"/>
        <w:rPr>
          <w:lang w:eastAsia="nl-NL"/>
        </w:rPr>
      </w:pPr>
      <w:r>
        <w:rPr>
          <w:lang w:eastAsia="nl-NL"/>
        </w:rPr>
        <w:t xml:space="preserve">Second circuit of the 400 kV OHL Nadab (RO) - </w:t>
      </w:r>
      <w:proofErr w:type="spellStart"/>
      <w:r>
        <w:rPr>
          <w:lang w:eastAsia="nl-NL"/>
        </w:rPr>
        <w:t>Bekescsaba</w:t>
      </w:r>
      <w:proofErr w:type="spellEnd"/>
      <w:r>
        <w:rPr>
          <w:lang w:eastAsia="nl-NL"/>
        </w:rPr>
        <w:t xml:space="preserve"> (HU) – (2028)</w:t>
      </w:r>
    </w:p>
    <w:p w:rsidR="001D7083" w:rsidP="001D7083" w:rsidRDefault="001D7083" w14:paraId="4D369688" w14:textId="77777777">
      <w:pPr>
        <w:pStyle w:val="Listaszerbekezds"/>
        <w:numPr>
          <w:ilvl w:val="1"/>
          <w:numId w:val="33"/>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1D7083" w:rsidP="001D7083" w:rsidRDefault="001D7083" w14:paraId="4239AD08" w14:textId="77777777">
      <w:pPr>
        <w:pStyle w:val="Listaszerbekezds"/>
        <w:numPr>
          <w:ilvl w:val="0"/>
          <w:numId w:val="33"/>
        </w:numPr>
        <w:spacing w:after="200" w:line="276" w:lineRule="auto"/>
        <w:rPr>
          <w:lang w:eastAsia="nl-NL"/>
        </w:rPr>
      </w:pPr>
      <w:r>
        <w:rPr>
          <w:lang w:eastAsia="nl-NL"/>
        </w:rPr>
        <w:t xml:space="preserve">New 400 kV OHL SS Subotica 3 (RS) – SS </w:t>
      </w:r>
      <w:proofErr w:type="spellStart"/>
      <w:r>
        <w:rPr>
          <w:lang w:eastAsia="nl-NL"/>
        </w:rPr>
        <w:t>Sandorfalva</w:t>
      </w:r>
      <w:proofErr w:type="spellEnd"/>
      <w:r>
        <w:rPr>
          <w:lang w:eastAsia="nl-NL"/>
        </w:rPr>
        <w:t xml:space="preserve"> (HU) – (2028)</w:t>
      </w:r>
    </w:p>
    <w:p w:rsidR="001D7083" w:rsidP="001D7083" w:rsidRDefault="001D7083" w14:paraId="39AFECA4" w14:textId="77777777">
      <w:pPr>
        <w:pStyle w:val="Listaszerbekezds"/>
        <w:numPr>
          <w:ilvl w:val="1"/>
          <w:numId w:val="33"/>
        </w:numPr>
        <w:spacing w:after="200" w:line="276" w:lineRule="auto"/>
        <w:rPr>
          <w:lang w:eastAsia="nl-NL"/>
        </w:rPr>
      </w:pPr>
      <w:r>
        <w:rPr>
          <w:lang w:eastAsia="nl-NL"/>
        </w:rPr>
        <w:t xml:space="preserve">This grid investment should help to reduce the frequency of 70%minRAM non-fulfilment for the [RO-HU] Arad – </w:t>
      </w:r>
      <w:proofErr w:type="spellStart"/>
      <w:r>
        <w:rPr>
          <w:lang w:eastAsia="nl-NL"/>
        </w:rPr>
        <w:t>Sandorfalva</w:t>
      </w:r>
      <w:proofErr w:type="spellEnd"/>
      <w:r>
        <w:rPr>
          <w:lang w:eastAsia="nl-NL"/>
        </w:rPr>
        <w:t xml:space="preserve"> [OPP] [HU] cross-border CNEC</w:t>
      </w:r>
    </w:p>
    <w:p w:rsidR="001D7083" w:rsidP="001D7083" w:rsidRDefault="001D7083" w14:paraId="2D161629" w14:textId="77777777">
      <w:pPr>
        <w:spacing w:after="200"/>
        <w:rPr>
          <w:lang w:eastAsia="nl-NL"/>
        </w:rPr>
      </w:pPr>
      <w:r>
        <w:rPr>
          <w:lang w:eastAsia="nl-NL"/>
        </w:rPr>
        <w:t>In addition to the cross-border investments, the following internal investments are expected to have a significant effect on cross-zonal trade:</w:t>
      </w:r>
    </w:p>
    <w:p w:rsidR="001D7083" w:rsidP="001D7083" w:rsidRDefault="001D7083" w14:paraId="435D00C8" w14:textId="77777777">
      <w:pPr>
        <w:pStyle w:val="Listaszerbekezds"/>
        <w:numPr>
          <w:ilvl w:val="0"/>
          <w:numId w:val="34"/>
        </w:numPr>
        <w:spacing w:after="200" w:line="276" w:lineRule="auto"/>
        <w:rPr>
          <w:lang w:eastAsia="nl-NL"/>
        </w:rPr>
      </w:pPr>
      <w:r>
        <w:rPr>
          <w:lang w:eastAsia="nl-NL"/>
        </w:rPr>
        <w:t xml:space="preserve">New 400 kV OHL between </w:t>
      </w:r>
      <w:proofErr w:type="spellStart"/>
      <w:r>
        <w:rPr>
          <w:lang w:eastAsia="nl-NL"/>
        </w:rPr>
        <w:t>Sandorfalva</w:t>
      </w:r>
      <w:proofErr w:type="spellEnd"/>
      <w:r>
        <w:rPr>
          <w:lang w:eastAsia="nl-NL"/>
        </w:rPr>
        <w:t xml:space="preserve"> and Szolnok, replacing the existing 220 kV line (2028)</w:t>
      </w:r>
    </w:p>
    <w:p w:rsidR="001D7083" w:rsidP="001D7083" w:rsidRDefault="001D7083" w14:paraId="61F3C2FC" w14:textId="77777777">
      <w:pPr>
        <w:pStyle w:val="Listaszerbekezds"/>
        <w:numPr>
          <w:ilvl w:val="1"/>
          <w:numId w:val="34"/>
        </w:numPr>
        <w:spacing w:after="200" w:line="276" w:lineRule="auto"/>
        <w:rPr>
          <w:lang w:eastAsia="nl-NL"/>
        </w:rPr>
      </w:pPr>
      <w:r>
        <w:rPr>
          <w:lang w:eastAsia="nl-NL"/>
        </w:rPr>
        <w:t xml:space="preserve">This gird investment should help to reduce the frequency of 70%minRAM non-fulfilment on [HU-HU] Paks – </w:t>
      </w:r>
      <w:proofErr w:type="spellStart"/>
      <w:r>
        <w:rPr>
          <w:lang w:eastAsia="nl-NL"/>
        </w:rPr>
        <w:t>Sandorfalva</w:t>
      </w:r>
      <w:proofErr w:type="spellEnd"/>
      <w:r>
        <w:rPr>
          <w:lang w:eastAsia="nl-NL"/>
        </w:rPr>
        <w:t xml:space="preserve"> [DIR]. The [HU-HU] Szolnok – Szeged network element will be decommissioned.</w:t>
      </w:r>
    </w:p>
    <w:p w:rsidR="001D7083" w:rsidP="001D7083" w:rsidRDefault="001D7083" w14:paraId="5F8C1E94" w14:textId="77777777">
      <w:pPr>
        <w:pStyle w:val="Listaszerbekezds"/>
        <w:numPr>
          <w:ilvl w:val="0"/>
          <w:numId w:val="34"/>
        </w:numPr>
        <w:spacing w:after="200" w:line="276" w:lineRule="auto"/>
        <w:rPr>
          <w:lang w:eastAsia="nl-NL"/>
        </w:rPr>
      </w:pPr>
      <w:r>
        <w:rPr>
          <w:lang w:eastAsia="nl-NL"/>
        </w:rPr>
        <w:t xml:space="preserve">Second 400 kV OHL between </w:t>
      </w:r>
      <w:proofErr w:type="spellStart"/>
      <w:r>
        <w:rPr>
          <w:lang w:eastAsia="nl-NL"/>
        </w:rPr>
        <w:t>Felsozsolca</w:t>
      </w:r>
      <w:proofErr w:type="spellEnd"/>
      <w:r>
        <w:rPr>
          <w:lang w:eastAsia="nl-NL"/>
        </w:rPr>
        <w:t xml:space="preserve"> and </w:t>
      </w:r>
      <w:proofErr w:type="spellStart"/>
      <w:r>
        <w:rPr>
          <w:lang w:eastAsia="nl-NL"/>
        </w:rPr>
        <w:t>Sajoivanka</w:t>
      </w:r>
      <w:proofErr w:type="spellEnd"/>
      <w:r>
        <w:rPr>
          <w:lang w:eastAsia="nl-NL"/>
        </w:rPr>
        <w:t xml:space="preserve"> (2026)</w:t>
      </w:r>
    </w:p>
    <w:p w:rsidR="001D7083" w:rsidP="001D7083" w:rsidRDefault="001D7083" w14:paraId="1D7DF639" w14:textId="77777777">
      <w:pPr>
        <w:pStyle w:val="Listaszerbekezds"/>
        <w:numPr>
          <w:ilvl w:val="1"/>
          <w:numId w:val="34"/>
        </w:numPr>
        <w:spacing w:after="200" w:line="276" w:lineRule="auto"/>
        <w:rPr>
          <w:lang w:eastAsia="nl-NL"/>
        </w:rPr>
      </w:pPr>
      <w:r>
        <w:rPr>
          <w:lang w:eastAsia="nl-NL"/>
        </w:rPr>
        <w:t xml:space="preserve">This gird investment should help to reduce the frequency of 70%minRAM non-fulfilment for [SK-HU] Levice – God [DIR] [HU] cross-border network element and [HU-HU] </w:t>
      </w:r>
      <w:proofErr w:type="spellStart"/>
      <w:r>
        <w:rPr>
          <w:lang w:eastAsia="nl-NL"/>
        </w:rPr>
        <w:t>Felsozsolca</w:t>
      </w:r>
      <w:proofErr w:type="spellEnd"/>
      <w:r>
        <w:rPr>
          <w:lang w:eastAsia="nl-NL"/>
        </w:rPr>
        <w:t xml:space="preserve"> – </w:t>
      </w:r>
      <w:proofErr w:type="spellStart"/>
      <w:r>
        <w:rPr>
          <w:lang w:eastAsia="nl-NL"/>
        </w:rPr>
        <w:t>Sajoivanka</w:t>
      </w:r>
      <w:proofErr w:type="spellEnd"/>
      <w:r>
        <w:rPr>
          <w:lang w:eastAsia="nl-NL"/>
        </w:rPr>
        <w:t xml:space="preserve"> [OPP] [HU] network element.</w:t>
      </w:r>
    </w:p>
    <w:p w:rsidR="001D7083" w:rsidP="001D7083" w:rsidRDefault="001D7083" w14:paraId="045BB61D" w14:textId="77777777">
      <w:pPr>
        <w:spacing w:after="200"/>
        <w:rPr>
          <w:lang w:eastAsia="nl-NL"/>
        </w:rPr>
      </w:pPr>
      <w:r>
        <w:rPr>
          <w:lang w:eastAsia="nl-NL"/>
        </w:rPr>
        <w:t xml:space="preserve">It is important to note that there are also internal and cross-border grid development projects in Slovakia which are foreseen to considerably mitigate grid constraints over the SK – HU. </w:t>
      </w:r>
    </w:p>
    <w:p w:rsidR="001D7083" w:rsidP="001D7083" w:rsidRDefault="001D7083" w14:paraId="4D661C00" w14:textId="77777777">
      <w:pPr>
        <w:pStyle w:val="Listaszerbekezds"/>
        <w:numPr>
          <w:ilvl w:val="0"/>
          <w:numId w:val="35"/>
        </w:numPr>
        <w:spacing w:after="200" w:line="276" w:lineRule="auto"/>
        <w:rPr>
          <w:lang w:eastAsia="nl-NL"/>
        </w:rPr>
      </w:pPr>
      <w:r>
        <w:rPr>
          <w:lang w:eastAsia="nl-NL"/>
        </w:rPr>
        <w:t xml:space="preserve">   Planned development in the Velky Dur – Levice region (2029)</w:t>
      </w:r>
    </w:p>
    <w:p w:rsidR="001D7083" w:rsidP="001D7083" w:rsidRDefault="001D7083" w14:paraId="614CFEF2" w14:textId="77777777">
      <w:pPr>
        <w:pStyle w:val="Listaszerbekezds"/>
        <w:numPr>
          <w:ilvl w:val="1"/>
          <w:numId w:val="35"/>
        </w:numPr>
        <w:spacing w:line="276" w:lineRule="auto"/>
        <w:jc w:val="left"/>
        <w:rPr>
          <w:lang w:eastAsia="nl-NL"/>
        </w:rPr>
      </w:pPr>
      <w:r w:rsidRPr="00EB6784">
        <w:rPr>
          <w:lang w:eastAsia="nl-NL"/>
        </w:rPr>
        <w:t>This gr</w:t>
      </w:r>
      <w:r>
        <w:rPr>
          <w:lang w:eastAsia="nl-NL"/>
        </w:rPr>
        <w:t>i</w:t>
      </w:r>
      <w:r w:rsidRPr="00EB6784">
        <w:rPr>
          <w:lang w:eastAsia="nl-NL"/>
        </w:rPr>
        <w:t xml:space="preserve">d investment should help to </w:t>
      </w:r>
      <w:r>
        <w:rPr>
          <w:lang w:eastAsia="nl-NL"/>
        </w:rPr>
        <w:t xml:space="preserve">largely </w:t>
      </w:r>
      <w:r w:rsidRPr="00EB6784">
        <w:rPr>
          <w:lang w:eastAsia="nl-NL"/>
        </w:rPr>
        <w:t xml:space="preserve">reduce the </w:t>
      </w:r>
      <w:r>
        <w:rPr>
          <w:lang w:eastAsia="nl-NL"/>
        </w:rPr>
        <w:t xml:space="preserve">most </w:t>
      </w:r>
      <w:r w:rsidRPr="00EB6784">
        <w:rPr>
          <w:lang w:eastAsia="nl-NL"/>
        </w:rPr>
        <w:t>frequen</w:t>
      </w:r>
      <w:r>
        <w:rPr>
          <w:lang w:eastAsia="nl-NL"/>
        </w:rPr>
        <w:t>tly</w:t>
      </w:r>
      <w:r w:rsidRPr="00EB6784">
        <w:rPr>
          <w:lang w:eastAsia="nl-NL"/>
        </w:rPr>
        <w:t xml:space="preserve"> </w:t>
      </w:r>
      <w:r>
        <w:rPr>
          <w:lang w:eastAsia="nl-NL"/>
        </w:rPr>
        <w:t xml:space="preserve">limiting constraints </w:t>
      </w:r>
      <w:r w:rsidRPr="00EB6784">
        <w:rPr>
          <w:lang w:eastAsia="nl-NL"/>
        </w:rPr>
        <w:t>[</w:t>
      </w:r>
      <w:r>
        <w:rPr>
          <w:lang w:eastAsia="nl-NL"/>
        </w:rPr>
        <w:t>SK</w:t>
      </w:r>
      <w:r w:rsidRPr="00EB6784">
        <w:rPr>
          <w:lang w:eastAsia="nl-NL"/>
        </w:rPr>
        <w:t>-</w:t>
      </w:r>
      <w:r>
        <w:rPr>
          <w:lang w:eastAsia="nl-NL"/>
        </w:rPr>
        <w:t>SK</w:t>
      </w:r>
      <w:r w:rsidRPr="00EB6784">
        <w:rPr>
          <w:lang w:eastAsia="nl-NL"/>
        </w:rPr>
        <w:t xml:space="preserve">] </w:t>
      </w:r>
      <w:r>
        <w:rPr>
          <w:lang w:eastAsia="nl-NL"/>
        </w:rPr>
        <w:t>V. Dur</w:t>
      </w:r>
      <w:r w:rsidRPr="00EB6784">
        <w:rPr>
          <w:lang w:eastAsia="nl-NL"/>
        </w:rPr>
        <w:t xml:space="preserve"> – </w:t>
      </w:r>
      <w:r>
        <w:rPr>
          <w:lang w:eastAsia="nl-NL"/>
        </w:rPr>
        <w:t xml:space="preserve">Levice 1 </w:t>
      </w:r>
      <w:r w:rsidRPr="00EB6784">
        <w:rPr>
          <w:lang w:eastAsia="nl-NL"/>
        </w:rPr>
        <w:t>[DIR]</w:t>
      </w:r>
      <w:r>
        <w:rPr>
          <w:lang w:eastAsia="nl-NL"/>
        </w:rPr>
        <w:t xml:space="preserve"> and </w:t>
      </w:r>
      <w:r w:rsidRPr="00EB6784">
        <w:rPr>
          <w:lang w:eastAsia="nl-NL"/>
        </w:rPr>
        <w:t>[</w:t>
      </w:r>
      <w:r>
        <w:rPr>
          <w:lang w:eastAsia="nl-NL"/>
        </w:rPr>
        <w:t>SK</w:t>
      </w:r>
      <w:r w:rsidRPr="00EB6784">
        <w:rPr>
          <w:lang w:eastAsia="nl-NL"/>
        </w:rPr>
        <w:t>-</w:t>
      </w:r>
      <w:r>
        <w:rPr>
          <w:lang w:eastAsia="nl-NL"/>
        </w:rPr>
        <w:t>SK</w:t>
      </w:r>
      <w:r w:rsidRPr="00EB6784">
        <w:rPr>
          <w:lang w:eastAsia="nl-NL"/>
        </w:rPr>
        <w:t xml:space="preserve">] </w:t>
      </w:r>
      <w:r>
        <w:rPr>
          <w:lang w:eastAsia="nl-NL"/>
        </w:rPr>
        <w:t>V. Dur</w:t>
      </w:r>
      <w:r w:rsidRPr="00EB6784">
        <w:rPr>
          <w:lang w:eastAsia="nl-NL"/>
        </w:rPr>
        <w:t xml:space="preserve"> – </w:t>
      </w:r>
      <w:r>
        <w:rPr>
          <w:lang w:eastAsia="nl-NL"/>
        </w:rPr>
        <w:t xml:space="preserve">Levice 2 </w:t>
      </w:r>
      <w:r w:rsidRPr="00EB6784">
        <w:rPr>
          <w:lang w:eastAsia="nl-NL"/>
        </w:rPr>
        <w:t>[DIR]</w:t>
      </w:r>
      <w:r>
        <w:rPr>
          <w:lang w:eastAsia="nl-NL"/>
        </w:rPr>
        <w:t xml:space="preserve"> from </w:t>
      </w:r>
      <w:r>
        <w:rPr>
          <w:lang w:eastAsia="nl-NL"/>
        </w:rPr>
        <w:lastRenderedPageBreak/>
        <w:t>the Top 20 ATC limiting element list</w:t>
      </w:r>
      <w:r w:rsidRPr="00EB6784">
        <w:rPr>
          <w:lang w:eastAsia="nl-NL"/>
        </w:rPr>
        <w:t xml:space="preserve">. </w:t>
      </w:r>
      <w:r>
        <w:rPr>
          <w:lang w:eastAsia="nl-NL"/>
        </w:rPr>
        <w:t xml:space="preserve">It </w:t>
      </w:r>
      <w:proofErr w:type="spellStart"/>
      <w:r>
        <w:rPr>
          <w:lang w:eastAsia="nl-NL"/>
        </w:rPr>
        <w:t>isl</w:t>
      </w:r>
      <w:proofErr w:type="spellEnd"/>
      <w:r>
        <w:rPr>
          <w:lang w:eastAsia="nl-NL"/>
        </w:rPr>
        <w:t xml:space="preserve"> also foreseen to help to mitigate the grid constraints over the SK – HU border</w:t>
      </w:r>
    </w:p>
    <w:p w:rsidR="001D7083" w:rsidP="001D7083" w:rsidRDefault="001D7083" w14:paraId="61DD66AC" w14:textId="77777777">
      <w:pPr>
        <w:spacing w:line="276" w:lineRule="auto"/>
        <w:jc w:val="left"/>
        <w:rPr>
          <w:lang w:eastAsia="nl-NL"/>
        </w:rPr>
      </w:pPr>
    </w:p>
    <w:p w:rsidRPr="005E7083" w:rsidR="001D7083" w:rsidP="001D7083" w:rsidRDefault="001D7083" w14:paraId="05B8CFBF" w14:textId="77777777">
      <w:pPr>
        <w:rPr>
          <w:lang w:val="en-GB" w:eastAsia="nl-NL"/>
        </w:rPr>
      </w:pPr>
      <w:r>
        <w:rPr>
          <w:lang w:eastAsia="nl-NL"/>
        </w:rPr>
        <w:t>Although MAVIR provides already today a high level of RAM on most of its CNECs in the day-ahead timeframe on several network elements, the RAM may be limited to maintain operational security.</w:t>
      </w:r>
      <w:r>
        <w:t xml:space="preserve"> </w:t>
      </w:r>
      <w:r w:rsidRPr="007C5276">
        <w:rPr>
          <w:lang w:eastAsia="nl-NL"/>
        </w:rPr>
        <w:t xml:space="preserve">For an increase of the RAM the key is the improvement of security coordination in the Core CCR with the implementation of </w:t>
      </w:r>
      <w:r>
        <w:rPr>
          <w:lang w:eastAsia="nl-NL"/>
        </w:rPr>
        <w:t>coordinated validation and ROSC.</w:t>
      </w:r>
    </w:p>
    <w:p w:rsidRPr="001D7083" w:rsidR="001D7083" w:rsidP="001D7083" w:rsidRDefault="001D7083" w14:paraId="140BF0EA" w14:textId="77777777">
      <w:pPr>
        <w:rPr>
          <w:lang w:val="en-GB" w:eastAsia="nl-NL"/>
        </w:rPr>
      </w:pPr>
    </w:p>
    <w:p w:rsidRPr="0012099C" w:rsidR="4111B396" w:rsidP="0012099C" w:rsidRDefault="799E5D96" w14:paraId="1B49F6BF" w14:textId="3B093856">
      <w:pPr>
        <w:pStyle w:val="Cmsor1"/>
      </w:pPr>
      <w:bookmarkStart w:name="_Toc220681466" w:id="32"/>
      <w:r>
        <w:t>PSE</w:t>
      </w:r>
      <w:bookmarkEnd w:id="32"/>
    </w:p>
    <w:p w:rsidR="37F2883E" w:rsidP="799E5D96" w:rsidRDefault="799E5D96" w14:paraId="309E43C8" w14:textId="397257D4">
      <w:pPr>
        <w:pStyle w:val="Cmsor1"/>
      </w:pPr>
      <w:bookmarkStart w:name="_Toc220681467" w:id="33"/>
      <w:r>
        <w:t>RTE</w:t>
      </w:r>
      <w:bookmarkEnd w:id="33"/>
    </w:p>
    <w:p w:rsidR="13A7972D" w:rsidP="0012099C" w:rsidRDefault="1F7169EE" w14:paraId="0A192FD5" w14:textId="004B135F">
      <w:pPr>
        <w:pStyle w:val="Cmsor1"/>
      </w:pPr>
      <w:bookmarkStart w:name="_Toc220681468" w:id="34"/>
      <w:r>
        <w:t>SEPS</w:t>
      </w:r>
      <w:bookmarkEnd w:id="34"/>
    </w:p>
    <w:p w:rsidR="1F7169EE" w:rsidP="00D32193" w:rsidRDefault="08EC558C" w14:paraId="51327ACD" w14:textId="7F4BBB88">
      <w:r w:rsidRPr="08EC558C">
        <w:rPr>
          <w:rFonts w:eastAsia="Arial"/>
        </w:rPr>
        <w:t>In the analysed quarter (Q3 2025), SEPS applied reductions in approximately 3.01 % of MTUs, with a total curtailed volume of 9358 MW. For most MTUs, the reductions were applied on the following tie-lines:</w:t>
      </w:r>
    </w:p>
    <w:p w:rsidRPr="00D32193" w:rsidR="1F7169EE" w:rsidP="00D32193" w:rsidRDefault="1F7169EE" w14:paraId="0ED50400" w14:textId="0ABB066B">
      <w:pPr>
        <w:pStyle w:val="Listaszerbekezds"/>
        <w:numPr>
          <w:ilvl w:val="0"/>
          <w:numId w:val="27"/>
        </w:numPr>
        <w:rPr>
          <w:rFonts w:eastAsia="Arial"/>
        </w:rPr>
      </w:pPr>
      <w:r w:rsidRPr="00D32193">
        <w:rPr>
          <w:rFonts w:eastAsia="Arial"/>
        </w:rPr>
        <w:t>TL 400 kV [CZ–SK] Nosovice – Varin [DIR] [SK]</w:t>
      </w:r>
    </w:p>
    <w:p w:rsidRPr="00D32193" w:rsidR="1F7169EE" w:rsidP="00D32193" w:rsidRDefault="1F7169EE" w14:paraId="7B55BC28" w14:textId="369F2930">
      <w:pPr>
        <w:pStyle w:val="Listaszerbekezds"/>
        <w:numPr>
          <w:ilvl w:val="0"/>
          <w:numId w:val="27"/>
        </w:numPr>
        <w:rPr>
          <w:rFonts w:eastAsia="Arial"/>
        </w:rPr>
      </w:pPr>
      <w:r w:rsidRPr="00D32193">
        <w:rPr>
          <w:rFonts w:eastAsia="Arial"/>
        </w:rPr>
        <w:t>TL 400 kV [SK–SK] Velky Dur – Levice 1 [DIR]</w:t>
      </w:r>
    </w:p>
    <w:p w:rsidRPr="00D32193" w:rsidR="1F7169EE" w:rsidP="00D32193" w:rsidRDefault="1F7169EE" w14:paraId="7E9323E2" w14:textId="7EC05077">
      <w:pPr>
        <w:pStyle w:val="Listaszerbekezds"/>
        <w:numPr>
          <w:ilvl w:val="0"/>
          <w:numId w:val="27"/>
        </w:numPr>
        <w:rPr>
          <w:rFonts w:eastAsia="Arial"/>
        </w:rPr>
      </w:pPr>
      <w:r w:rsidRPr="00D32193">
        <w:rPr>
          <w:rFonts w:eastAsia="Arial"/>
        </w:rPr>
        <w:t>TL 400 kV [SK–HU] Levice – Göd [DIR] [SK]</w:t>
      </w:r>
    </w:p>
    <w:p w:rsidR="1F7169EE" w:rsidP="00D32193" w:rsidRDefault="1F7169EE" w14:paraId="64F950B8" w14:textId="72EBAD76">
      <w:r w:rsidRPr="1F7169EE">
        <w:rPr>
          <w:rFonts w:eastAsia="Arial"/>
        </w:rPr>
        <w:t>General measures to avoid cross-zonal capacity reductions in the future</w:t>
      </w:r>
    </w:p>
    <w:p w:rsidR="1F7169EE" w:rsidP="00D32193" w:rsidRDefault="1F7169EE" w14:paraId="5A464F6F" w14:textId="491284C7">
      <w:r w:rsidRPr="1F7169EE">
        <w:rPr>
          <w:rFonts w:eastAsia="Arial"/>
        </w:rPr>
        <w:t>A planned reinforcement of the Nošovice – Varín tie-line is expected to increase the maximum current (Imax) from 1740 A to 2000 A by 2029, which should reduce the IVA volume applied on this element.</w:t>
      </w:r>
    </w:p>
    <w:p w:rsidR="1F7169EE" w:rsidP="00D32193" w:rsidRDefault="1F7169EE" w14:paraId="5930F4A6" w14:textId="58E62AD0">
      <w:r w:rsidRPr="1F7169EE">
        <w:rPr>
          <w:rFonts w:eastAsia="Arial"/>
        </w:rPr>
        <w:t xml:space="preserve">For the CNE </w:t>
      </w:r>
      <w:proofErr w:type="spellStart"/>
      <w:r w:rsidRPr="1F7169EE">
        <w:rPr>
          <w:rFonts w:eastAsia="Arial"/>
        </w:rPr>
        <w:t>Veľký</w:t>
      </w:r>
      <w:proofErr w:type="spellEnd"/>
      <w:r w:rsidRPr="1F7169EE">
        <w:rPr>
          <w:rFonts w:eastAsia="Arial"/>
        </w:rPr>
        <w:t xml:space="preserve"> </w:t>
      </w:r>
      <w:proofErr w:type="spellStart"/>
      <w:r w:rsidRPr="1F7169EE">
        <w:rPr>
          <w:rFonts w:eastAsia="Arial"/>
        </w:rPr>
        <w:t>Ďur</w:t>
      </w:r>
      <w:proofErr w:type="spellEnd"/>
      <w:r w:rsidRPr="1F7169EE">
        <w:rPr>
          <w:rFonts w:eastAsia="Arial"/>
        </w:rPr>
        <w:t xml:space="preserve"> – Levice 1 and Levice – God the following solutions is planned:</w:t>
      </w:r>
      <w:r>
        <w:br/>
      </w:r>
      <w:r w:rsidRPr="1F7169EE">
        <w:rPr>
          <w:rFonts w:eastAsia="Arial"/>
        </w:rPr>
        <w:t>The aim of the project is to connect the V492 Veľký Ďur – Horná Ždaňa line to the 400 kV switchyard in the Levice substation, to modify the connection of the V491 Veľký Ďur – Levice line in the 400 kV switchyard in the Levice substation, and to interconnect the V490 Veľký Ďur – Levice and V449 Levice – SK/HU state border (Göd) lines, including adjustments to secondary equipment in the related SEPS substations. The project is currently scheduled for completion by Q2 2029.</w:t>
      </w:r>
    </w:p>
    <w:p w:rsidR="1F7169EE" w:rsidP="00D32193" w:rsidRDefault="1F7169EE" w14:paraId="36D49D81" w14:textId="1105454F">
      <w:r w:rsidRPr="1F7169EE">
        <w:rPr>
          <w:rFonts w:eastAsia="Arial"/>
        </w:rPr>
        <w:t>The national ten-year development plan also includes additional planned reinforcements.</w:t>
      </w:r>
    </w:p>
    <w:p w:rsidRPr="00B74194" w:rsidR="03D1E99D" w:rsidP="00B74194" w:rsidRDefault="30BC569F" w14:paraId="23C7C36D" w14:textId="5D2A322B">
      <w:pPr>
        <w:pStyle w:val="Cmsor1"/>
      </w:pPr>
      <w:bookmarkStart w:name="_Toc220681469" w:id="35"/>
      <w:r>
        <w:t>Transelectrica</w:t>
      </w:r>
      <w:bookmarkEnd w:id="35"/>
    </w:p>
    <w:p w:rsidR="613C8602" w:rsidP="00D32193" w:rsidRDefault="30BC569F" w14:paraId="79215BAC" w14:textId="7EAE0C07">
      <w:r w:rsidRPr="30BC569F">
        <w:rPr>
          <w:rFonts w:eastAsia="Arial"/>
        </w:rPr>
        <w:t xml:space="preserve">In addition to being part of the Core CCR, Transelectrica is also part of SEE CCR with RO – BG border having operational processes for the First Intraday capacity calculation since October 2021 and Second Intraday capacity calculation since October 2022. Moreover, there are three non-EU borders for which there is no coordinated capacity calculation. </w:t>
      </w:r>
    </w:p>
    <w:p w:rsidR="613C8602" w:rsidP="00D32193" w:rsidRDefault="30BC569F" w14:paraId="502D943E" w14:textId="61A1D7FA">
      <w:r w:rsidRPr="30BC569F">
        <w:rPr>
          <w:rFonts w:eastAsia="Arial"/>
        </w:rPr>
        <w:t>Regarding the capacity calculation process, the Core ID CCM allows TSOs to correct cross-zonal capacity for reasons of operational security during the validation process individually and in a coordinated way according to Article 18 (2): “Each Core TSO shall validate and have the right to decrease the RAM for reasons of operational security during individual validation. [...] IVA may reduce the RAM only to the minimum degree that is needed to ensure operational security, and only after all the expected available costly and non-costly remedial actions pursuant to Article 22 of the SO Regulation are considered”.</w:t>
      </w:r>
    </w:p>
    <w:p w:rsidRPr="00D32193" w:rsidR="613C8602" w:rsidP="00D32193" w:rsidRDefault="30BC569F" w14:paraId="3E8D1A1A" w14:textId="273ADCB5">
      <w:r w:rsidRPr="30BC569F">
        <w:rPr>
          <w:rFonts w:eastAsia="Arial"/>
        </w:rPr>
        <w:lastRenderedPageBreak/>
        <w:t xml:space="preserve">For the period 20251001 – </w:t>
      </w:r>
      <w:r w:rsidRPr="30BC569F">
        <w:rPr>
          <w:rFonts w:eastAsia="Arial"/>
          <w:lang w:val="en-GB"/>
        </w:rPr>
        <w:t>20251231</w:t>
      </w:r>
      <w:r w:rsidRPr="30BC569F">
        <w:rPr>
          <w:rFonts w:eastAsia="Arial"/>
        </w:rPr>
        <w:t>, Transelectrica applied an Individual Validation Adjustment (IVA) on the following CNEs, for a total of 11.73% of MTUs. In the graph below the average IVA per CNE is represented for the timestamps where reductions were applied.</w:t>
      </w:r>
    </w:p>
    <w:p w:rsidR="613C8602" w:rsidP="30BC569F" w:rsidRDefault="613C8602" w14:paraId="44F9253F" w14:textId="300B3281">
      <w:r>
        <w:rPr>
          <w:noProof/>
        </w:rPr>
        <w:drawing>
          <wp:inline distT="0" distB="0" distL="0" distR="0" wp14:anchorId="465B2B58" wp14:editId="173E6A8F">
            <wp:extent cx="5905500" cy="3362325"/>
            <wp:effectExtent l="0" t="0" r="0" b="0"/>
            <wp:docPr id="46023018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230181" name="Picture 460230181"/>
                    <pic:cNvPicPr/>
                  </pic:nvPicPr>
                  <pic:blipFill>
                    <a:blip r:embed="rId11">
                      <a:extLst>
                        <a:ext uri="{28A0092B-C50C-407E-A947-70E740481C1C}">
                          <a14:useLocalDpi xmlns:a14="http://schemas.microsoft.com/office/drawing/2010/main"/>
                        </a:ext>
                      </a:extLst>
                    </a:blip>
                    <a:stretch>
                      <a:fillRect/>
                    </a:stretch>
                  </pic:blipFill>
                  <pic:spPr>
                    <a:xfrm>
                      <a:off x="0" y="0"/>
                      <a:ext cx="5905500" cy="3362325"/>
                    </a:xfrm>
                    <a:prstGeom prst="rect">
                      <a:avLst/>
                    </a:prstGeom>
                  </pic:spPr>
                </pic:pic>
              </a:graphicData>
            </a:graphic>
          </wp:inline>
        </w:drawing>
      </w:r>
    </w:p>
    <w:p w:rsidR="613C8602" w:rsidP="00D32193" w:rsidRDefault="30BC569F" w14:paraId="21E10077" w14:textId="60660362">
      <w:r w:rsidRPr="30BC569F">
        <w:rPr>
          <w:rFonts w:eastAsia="Arial"/>
        </w:rPr>
        <w:t>OHL 400 kV Portile de Fier – Djerdap is a tieline between Romania and Serbia, both countries having tielines with Bulgaria and Hungary. Because of this, the power flows on OHL 400 kV Portile de Fier – Djerdap are highly impacted by the cross-border exchanges between RO-BG, RO-RS, RO-HU.</w:t>
      </w:r>
    </w:p>
    <w:p w:rsidR="613C8602" w:rsidP="00D32193" w:rsidRDefault="30BC569F" w14:paraId="0FF51C45" w14:textId="4C8F4980">
      <w:r w:rsidRPr="30BC569F">
        <w:rPr>
          <w:rFonts w:eastAsia="Arial"/>
        </w:rPr>
        <w:t>General measures to avoid cross-zonal capacity reductions in the future, as per Articles 18(10)(h)(i) and 20(11)(b) of the ID CCM.</w:t>
      </w:r>
    </w:p>
    <w:p w:rsidRPr="000C18CB" w:rsidR="613C8602" w:rsidP="000C18CB" w:rsidRDefault="30BC569F" w14:paraId="4F0613AA" w14:textId="49123C40">
      <w:pPr>
        <w:pStyle w:val="Listaszerbekezds"/>
        <w:numPr>
          <w:ilvl w:val="0"/>
          <w:numId w:val="30"/>
        </w:numPr>
        <w:rPr>
          <w:rFonts w:eastAsia="Arial"/>
          <w:b/>
        </w:rPr>
      </w:pPr>
      <w:r w:rsidRPr="000C18CB">
        <w:rPr>
          <w:rFonts w:eastAsia="Arial"/>
          <w:b/>
        </w:rPr>
        <w:t>Development of the transmission grid</w:t>
      </w:r>
    </w:p>
    <w:p w:rsidR="613C8602" w:rsidP="00D32193" w:rsidRDefault="30BC569F" w14:paraId="57694037" w14:textId="4CDC8C75">
      <w:pPr>
        <w:pStyle w:val="Listaszerbekezds"/>
        <w:numPr>
          <w:ilvl w:val="0"/>
          <w:numId w:val="28"/>
        </w:numPr>
      </w:pPr>
      <w:r w:rsidRPr="00D32193">
        <w:rPr>
          <w:rFonts w:eastAsia="Arial"/>
        </w:rPr>
        <w:t>The main measure to reduce overloads in the capacity calculation process is to finalize investment projects with cross-border impact:</w:t>
      </w:r>
    </w:p>
    <w:p w:rsidRPr="00D32193" w:rsidR="613C8602" w:rsidP="00D32193" w:rsidRDefault="30BC569F" w14:paraId="19BC18C9" w14:textId="16DCDC52">
      <w:pPr>
        <w:pStyle w:val="Listaszerbekezds"/>
        <w:numPr>
          <w:ilvl w:val="0"/>
          <w:numId w:val="28"/>
        </w:numPr>
        <w:rPr>
          <w:rFonts w:eastAsia="Arial"/>
        </w:rPr>
      </w:pPr>
      <w:r w:rsidRPr="00D32193">
        <w:rPr>
          <w:rFonts w:eastAsia="Arial"/>
        </w:rPr>
        <w:t xml:space="preserve">New OHL 400 kV Portile de Fier – Resita and TIE 400 kV Resita – Pancevo circ. 2 have been commissioned in mid November 2024. TIE 400 kV Resita – Pancevo circ. 1 was commissioned in February 2025. </w:t>
      </w:r>
    </w:p>
    <w:p w:rsidRPr="00D32193" w:rsidR="613C8602" w:rsidP="00D32193" w:rsidRDefault="30BC569F" w14:paraId="24686BBA" w14:textId="7460CE97">
      <w:pPr>
        <w:pStyle w:val="Listaszerbekezds"/>
        <w:numPr>
          <w:ilvl w:val="0"/>
          <w:numId w:val="28"/>
        </w:numPr>
        <w:rPr>
          <w:rFonts w:eastAsia="Arial"/>
        </w:rPr>
      </w:pPr>
      <w:r w:rsidRPr="00D32193">
        <w:rPr>
          <w:rFonts w:eastAsia="Arial"/>
        </w:rPr>
        <w:t xml:space="preserve">New Autotransformer 400/220 kV in Rosiori substation to be commissioned in </w:t>
      </w:r>
      <w:proofErr w:type="gramStart"/>
      <w:r w:rsidRPr="00D32193">
        <w:rPr>
          <w:rFonts w:eastAsia="Arial"/>
        </w:rPr>
        <w:t>2028;</w:t>
      </w:r>
      <w:proofErr w:type="gramEnd"/>
    </w:p>
    <w:p w:rsidRPr="00D32193" w:rsidR="613C8602" w:rsidP="00D32193" w:rsidRDefault="30BC569F" w14:paraId="13282C45" w14:textId="2A6F38DE">
      <w:pPr>
        <w:pStyle w:val="Listaszerbekezds"/>
        <w:numPr>
          <w:ilvl w:val="0"/>
          <w:numId w:val="28"/>
        </w:numPr>
        <w:rPr>
          <w:rFonts w:eastAsia="Arial"/>
        </w:rPr>
      </w:pPr>
      <w:r w:rsidRPr="00D32193">
        <w:rPr>
          <w:rFonts w:eastAsia="Arial"/>
        </w:rPr>
        <w:t xml:space="preserve">400 kV OHL Resita – Timisoara – Sacalaz to be commissioned in </w:t>
      </w:r>
      <w:proofErr w:type="gramStart"/>
      <w:r w:rsidRPr="00D32193">
        <w:rPr>
          <w:rFonts w:eastAsia="Arial"/>
        </w:rPr>
        <w:t>2027;</w:t>
      </w:r>
      <w:proofErr w:type="gramEnd"/>
    </w:p>
    <w:p w:rsidRPr="00D32193" w:rsidR="613C8602" w:rsidP="00D32193" w:rsidRDefault="30BC569F" w14:paraId="00DDBFBE" w14:textId="63797612">
      <w:pPr>
        <w:pStyle w:val="Listaszerbekezds"/>
        <w:numPr>
          <w:ilvl w:val="0"/>
          <w:numId w:val="28"/>
        </w:numPr>
        <w:rPr>
          <w:rFonts w:eastAsia="Arial"/>
        </w:rPr>
      </w:pPr>
      <w:r w:rsidRPr="00D32193">
        <w:rPr>
          <w:rFonts w:eastAsia="Arial"/>
        </w:rPr>
        <w:t xml:space="preserve">400 kV d.c. OHL Timisoara – Arad to be commissioned in </w:t>
      </w:r>
      <w:proofErr w:type="gramStart"/>
      <w:r w:rsidRPr="00D32193">
        <w:rPr>
          <w:rFonts w:eastAsia="Arial"/>
        </w:rPr>
        <w:t>2028;</w:t>
      </w:r>
      <w:proofErr w:type="gramEnd"/>
    </w:p>
    <w:p w:rsidRPr="00D32193" w:rsidR="613C8602" w:rsidP="00D32193" w:rsidRDefault="30BC569F" w14:paraId="29F8D5A7" w14:textId="2B0BF2FB">
      <w:pPr>
        <w:pStyle w:val="Listaszerbekezds"/>
        <w:numPr>
          <w:ilvl w:val="0"/>
          <w:numId w:val="28"/>
        </w:numPr>
        <w:rPr>
          <w:rFonts w:eastAsia="Arial"/>
        </w:rPr>
      </w:pPr>
      <w:r w:rsidRPr="00D32193">
        <w:rPr>
          <w:rFonts w:eastAsia="Arial"/>
        </w:rPr>
        <w:t xml:space="preserve">Increasing the transmission capacity on the OHLs 220 kV Urechesti – Targu Jiu Nord – Paroseni – Baru Mare – Hasdat to be commissioned in </w:t>
      </w:r>
      <w:proofErr w:type="gramStart"/>
      <w:r w:rsidRPr="00D32193">
        <w:rPr>
          <w:rFonts w:eastAsia="Arial"/>
        </w:rPr>
        <w:t>2028;</w:t>
      </w:r>
      <w:proofErr w:type="gramEnd"/>
    </w:p>
    <w:p w:rsidRPr="00D32193" w:rsidR="613C8602" w:rsidP="00D32193" w:rsidRDefault="30BC569F" w14:paraId="18CD22E4" w14:textId="667371A0">
      <w:pPr>
        <w:pStyle w:val="Listaszerbekezds"/>
        <w:numPr>
          <w:ilvl w:val="0"/>
          <w:numId w:val="28"/>
        </w:numPr>
        <w:rPr>
          <w:rFonts w:eastAsia="Arial"/>
        </w:rPr>
      </w:pPr>
      <w:r w:rsidRPr="00D32193">
        <w:rPr>
          <w:rFonts w:eastAsia="Arial"/>
        </w:rPr>
        <w:t xml:space="preserve">Increasing the transmission capacity on the OHL 220 kV d.c. Portile de Fier – Resita to be commissioned in </w:t>
      </w:r>
      <w:proofErr w:type="gramStart"/>
      <w:r w:rsidRPr="00D32193">
        <w:rPr>
          <w:rFonts w:eastAsia="Arial"/>
        </w:rPr>
        <w:t>2028;</w:t>
      </w:r>
      <w:proofErr w:type="gramEnd"/>
    </w:p>
    <w:p w:rsidRPr="00D32193" w:rsidR="613C8602" w:rsidP="00D32193" w:rsidRDefault="30BC569F" w14:paraId="7346C70B" w14:textId="13FCE543">
      <w:pPr>
        <w:pStyle w:val="Listaszerbekezds"/>
        <w:numPr>
          <w:ilvl w:val="0"/>
          <w:numId w:val="28"/>
        </w:numPr>
        <w:rPr>
          <w:rFonts w:eastAsia="Arial"/>
        </w:rPr>
      </w:pPr>
      <w:r w:rsidRPr="00D32193">
        <w:rPr>
          <w:rFonts w:eastAsia="Arial"/>
          <w:lang w:val="pl-PL"/>
        </w:rPr>
        <w:t xml:space="preserve">400 kV TIE Nadab – Graniceri circ. </w:t>
      </w:r>
      <w:r w:rsidRPr="00D32193">
        <w:rPr>
          <w:rFonts w:eastAsia="Arial"/>
        </w:rPr>
        <w:t xml:space="preserve">2 to be commissioned in </w:t>
      </w:r>
      <w:proofErr w:type="gramStart"/>
      <w:r w:rsidRPr="00D32193">
        <w:rPr>
          <w:rFonts w:eastAsia="Arial"/>
        </w:rPr>
        <w:t>2028;</w:t>
      </w:r>
      <w:proofErr w:type="gramEnd"/>
    </w:p>
    <w:p w:rsidRPr="00D32193" w:rsidR="613C8602" w:rsidP="00D32193" w:rsidRDefault="30BC569F" w14:paraId="23168D16" w14:textId="7E09AF07">
      <w:pPr>
        <w:pStyle w:val="Listaszerbekezds"/>
        <w:numPr>
          <w:ilvl w:val="0"/>
          <w:numId w:val="28"/>
        </w:numPr>
        <w:rPr>
          <w:rFonts w:eastAsia="Arial"/>
        </w:rPr>
      </w:pPr>
      <w:r w:rsidRPr="00D32193">
        <w:rPr>
          <w:rFonts w:eastAsia="Arial"/>
        </w:rPr>
        <w:t xml:space="preserve">400 kV TIE Portile de Fier – Djerdap circ.2 to be commissioned in </w:t>
      </w:r>
      <w:proofErr w:type="gramStart"/>
      <w:r w:rsidRPr="00D32193">
        <w:rPr>
          <w:rFonts w:eastAsia="Arial"/>
        </w:rPr>
        <w:t>2029;</w:t>
      </w:r>
      <w:proofErr w:type="gramEnd"/>
    </w:p>
    <w:p w:rsidRPr="00D32193" w:rsidR="613C8602" w:rsidP="30BC569F" w:rsidRDefault="30BC569F" w14:paraId="1B32BE81" w14:textId="7753064B">
      <w:pPr>
        <w:pStyle w:val="Listaszerbekezds"/>
        <w:numPr>
          <w:ilvl w:val="0"/>
          <w:numId w:val="28"/>
        </w:numPr>
        <w:rPr>
          <w:rFonts w:eastAsia="Arial"/>
        </w:rPr>
      </w:pPr>
      <w:r w:rsidRPr="00D32193">
        <w:rPr>
          <w:rFonts w:eastAsia="Arial"/>
        </w:rPr>
        <w:t>400 kV TIE Oradea Sud – Josza to be commissioned in 2030.</w:t>
      </w:r>
    </w:p>
    <w:p w:rsidRPr="00D32193" w:rsidR="613C8602" w:rsidP="00D32193" w:rsidRDefault="30BC569F" w14:paraId="21A3AC18" w14:textId="617F07DF">
      <w:pPr>
        <w:pStyle w:val="Listaszerbekezds"/>
        <w:numPr>
          <w:ilvl w:val="0"/>
          <w:numId w:val="28"/>
        </w:numPr>
        <w:rPr>
          <w:rFonts w:eastAsia="Arial"/>
          <w:b/>
          <w:bCs w:val="0"/>
        </w:rPr>
      </w:pPr>
      <w:r w:rsidRPr="00D32193">
        <w:rPr>
          <w:rFonts w:eastAsia="Arial"/>
          <w:b/>
          <w:bCs w:val="0"/>
        </w:rPr>
        <w:t>Outage planning coordination</w:t>
      </w:r>
    </w:p>
    <w:p w:rsidR="613C8602" w:rsidP="00D32193" w:rsidRDefault="30BC569F" w14:paraId="30F4A81D" w14:textId="44211DE1">
      <w:r w:rsidRPr="30BC569F">
        <w:rPr>
          <w:rFonts w:eastAsia="Arial"/>
        </w:rPr>
        <w:t xml:space="preserve">Relevant assets are coordinated in the Outage coordination regions. This coordination has the scope of avoiding simultaneous disconnection of multiple elements with cross-border impact, taking into </w:t>
      </w:r>
      <w:r w:rsidRPr="30BC569F">
        <w:rPr>
          <w:rFonts w:eastAsia="Arial"/>
        </w:rPr>
        <w:lastRenderedPageBreak/>
        <w:t xml:space="preserve">consideration the system security as a first step. Lately it has been observed that the finalization of the Yearly Maintenance Plan is highly impacted by the level of cross-border capacities provided to the market. Thus, it became a necessity to coordinate the outage of relevant assets also from the perspective of the capacity calculation processes. </w:t>
      </w:r>
    </w:p>
    <w:p w:rsidRPr="00D32193" w:rsidR="613C8602" w:rsidP="00D32193" w:rsidRDefault="30BC569F" w14:paraId="335AEF40" w14:textId="7C0B1D5C">
      <w:pPr>
        <w:pStyle w:val="Listaszerbekezds"/>
        <w:numPr>
          <w:ilvl w:val="0"/>
          <w:numId w:val="29"/>
        </w:numPr>
        <w:rPr>
          <w:rFonts w:eastAsia="Arial"/>
          <w:b/>
        </w:rPr>
      </w:pPr>
      <w:r w:rsidRPr="00D32193">
        <w:rPr>
          <w:rFonts w:eastAsia="Arial"/>
          <w:b/>
        </w:rPr>
        <w:t>Implementation of regional coordinated processes for security analysis and redispatching and countertrading processes</w:t>
      </w:r>
    </w:p>
    <w:p w:rsidR="613C8602" w:rsidP="00D32193" w:rsidRDefault="30BC569F" w14:paraId="1F12C0B5" w14:textId="6FE89BCE">
      <w:r w:rsidRPr="30BC569F">
        <w:rPr>
          <w:rFonts w:eastAsia="Arial"/>
          <w:lang w:val="en-GB"/>
        </w:rPr>
        <w:t xml:space="preserve">Results of the intraday capacity calculation process come with a lot of uncertainties, mainly due to the input data, volumes of capacity allocated and available redispatching. </w:t>
      </w:r>
      <w:r w:rsidRPr="30BC569F">
        <w:rPr>
          <w:rFonts w:eastAsia="Arial"/>
          <w:lang w:val="ro"/>
        </w:rPr>
        <w:t>Measures to decrease the need of application of IVA include the consideration of internal redispatching. Due to the proximity to real-time, multiple power plants cannot be considered. Also, depending on the location of the congested elements, there may be none, one or multiple generators that can help decreasing the overload, but not necessarily avoiding them altogether.</w:t>
      </w:r>
    </w:p>
    <w:p w:rsidR="613C8602" w:rsidP="00305892" w:rsidRDefault="30BC569F" w14:paraId="74899405" w14:textId="501B041E">
      <w:r w:rsidRPr="30BC569F">
        <w:rPr>
          <w:rFonts w:eastAsia="Arial"/>
        </w:rPr>
        <w:t>It is thus mandatory to have security analysis implemented at regional level before real-time with coordinated means of reducing the observed overloads.</w:t>
      </w:r>
    </w:p>
    <w:p w:rsidR="613C8602" w:rsidP="00305892" w:rsidRDefault="30BC569F" w14:paraId="02D910DE" w14:textId="51DEBFDC">
      <w:r w:rsidRPr="30BC569F">
        <w:rPr>
          <w:rFonts w:eastAsia="Arial"/>
          <w:lang w:val="en-GB"/>
        </w:rPr>
        <w:t>At Core CCR level these processes are still under implementation.</w:t>
      </w:r>
    </w:p>
    <w:sectPr w:rsidR="613C8602" w:rsidSect="00544905">
      <w:headerReference w:type="even" r:id="rId12"/>
      <w:headerReference w:type="default" r:id="rId13"/>
      <w:footerReference w:type="even" r:id="rId14"/>
      <w:footerReference w:type="default" r:id="rId15"/>
      <w:headerReference w:type="first" r:id="rId16"/>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7E2B" w:rsidP="00B7680D" w:rsidRDefault="00307E2B" w14:paraId="2C709E4D" w14:textId="77777777">
      <w:pPr>
        <w:spacing w:line="240" w:lineRule="auto"/>
      </w:pPr>
      <w:r>
        <w:separator/>
      </w:r>
    </w:p>
    <w:p w:rsidR="00307E2B" w:rsidRDefault="00307E2B" w14:paraId="7775B248" w14:textId="77777777"/>
  </w:endnote>
  <w:endnote w:type="continuationSeparator" w:id="0">
    <w:p w:rsidR="00307E2B" w:rsidP="00B7680D" w:rsidRDefault="00307E2B" w14:paraId="7720AF84" w14:textId="77777777">
      <w:pPr>
        <w:spacing w:line="240" w:lineRule="auto"/>
      </w:pPr>
      <w:r>
        <w:continuationSeparator/>
      </w:r>
    </w:p>
    <w:p w:rsidR="00307E2B" w:rsidRDefault="00307E2B" w14:paraId="3BFA4D12" w14:textId="77777777"/>
  </w:endnote>
  <w:endnote w:type="continuationNotice" w:id="1">
    <w:p w:rsidR="00307E2B" w:rsidRDefault="00307E2B" w14:paraId="11D7C3B6" w14:textId="77777777">
      <w:pPr>
        <w:spacing w:line="240" w:lineRule="auto"/>
      </w:pPr>
    </w:p>
    <w:p w:rsidR="00307E2B" w:rsidRDefault="00307E2B" w14:paraId="1D7BC72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llb"/>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FB2C7DB">
    <w:pPr>
      <w:pStyle w:val="llb"/>
    </w:pPr>
    <w:r w:rsidRPr="00727CF7">
      <w:t xml:space="preserve">Page </w:t>
    </w:r>
    <w:r w:rsidRPr="00727CF7">
      <w:fldChar w:fldCharType="begin"/>
    </w:r>
    <w:r w:rsidRPr="00727CF7">
      <w:instrText>PAGE   \* MERGEFORMAT</w:instrText>
    </w:r>
    <w:r w:rsidRPr="00727CF7">
      <w:fldChar w:fldCharType="separate"/>
    </w:r>
    <w:r w:rsidR="00DC17B4">
      <w:rPr>
        <w:noProof/>
      </w:rPr>
      <w:t>9</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C17B4">
      <w:rPr>
        <w:noProof/>
      </w:rPr>
      <w:t>13</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7E2B" w:rsidP="00B7680D" w:rsidRDefault="00307E2B" w14:paraId="11471AAD" w14:textId="77777777">
      <w:pPr>
        <w:spacing w:line="240" w:lineRule="auto"/>
      </w:pPr>
      <w:r>
        <w:separator/>
      </w:r>
    </w:p>
    <w:p w:rsidR="00307E2B" w:rsidRDefault="00307E2B" w14:paraId="6FD70821" w14:textId="77777777"/>
  </w:footnote>
  <w:footnote w:type="continuationSeparator" w:id="0">
    <w:p w:rsidR="00307E2B" w:rsidP="00B7680D" w:rsidRDefault="00307E2B" w14:paraId="23BDF610" w14:textId="77777777">
      <w:pPr>
        <w:spacing w:line="240" w:lineRule="auto"/>
      </w:pPr>
      <w:r>
        <w:continuationSeparator/>
      </w:r>
    </w:p>
    <w:p w:rsidR="00307E2B" w:rsidRDefault="00307E2B" w14:paraId="49959363" w14:textId="77777777"/>
  </w:footnote>
  <w:footnote w:type="continuationNotice" w:id="1">
    <w:p w:rsidR="00307E2B" w:rsidRDefault="00307E2B" w14:paraId="709BF4F9" w14:textId="77777777">
      <w:pPr>
        <w:spacing w:line="240" w:lineRule="auto"/>
      </w:pPr>
    </w:p>
    <w:p w:rsidR="00307E2B" w:rsidRDefault="00307E2B" w14:paraId="2A11DC1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lfej"/>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lfej"/>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8B4FC2" w:rsidR="00976D05" w:rsidP="008B4FC2" w:rsidRDefault="008B4FC2" w14:paraId="75362D0B" w14:textId="01152B2A">
    <w:pPr>
      <w:pStyle w:val="lfej"/>
      <w:jc w:val="both"/>
      <w:rPr>
        <w:b/>
        <w:color w:val="3366FF"/>
        <w:sz w:val="24"/>
      </w:rPr>
    </w:pPr>
    <w:r w:rsidRPr="008B4FC2">
      <w:rPr>
        <w:b/>
        <w:noProof/>
        <w:color w:val="3366FF"/>
        <w:sz w:val="24"/>
        <w:lang w:val="hr-HR" w:eastAsia="hr-HR"/>
      </w:rPr>
      <w:drawing>
        <wp:inline distT="0" distB="0" distL="0" distR="0" wp14:anchorId="73EFAE62" wp14:editId="45DF4185">
          <wp:extent cx="5904230" cy="652145"/>
          <wp:effectExtent l="0" t="0" r="1270" b="0"/>
          <wp:docPr id="1068478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78951"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689436"/>
    <w:lvl w:ilvl="0">
      <w:start w:val="1"/>
      <w:numFmt w:val="bullet"/>
      <w:pStyle w:val="Felsorols"/>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Cmsor1"/>
      <w:lvlText w:val="%1."/>
      <w:lvlJc w:val="left"/>
      <w:pPr>
        <w:tabs>
          <w:tab w:val="num" w:pos="0"/>
        </w:tabs>
        <w:ind w:left="0" w:firstLine="0"/>
      </w:pPr>
      <w:rPr>
        <w:rFonts w:ascii="Arial" w:hAnsi="Arial" w:cs="Arial" w:eastAsiaTheme="minorHAnsi"/>
        <w:sz w:val="20"/>
        <w:szCs w:val="20"/>
      </w:rPr>
    </w:lvl>
    <w:lvl w:ilvl="1">
      <w:start w:val="1"/>
      <w:numFmt w:val="decimal"/>
      <w:pStyle w:val="Cmsor2"/>
      <w:lvlText w:val="%1.%2."/>
      <w:lvlJc w:val="left"/>
      <w:pPr>
        <w:tabs>
          <w:tab w:val="num" w:pos="0"/>
        </w:tabs>
        <w:ind w:left="0" w:firstLine="0"/>
      </w:pPr>
      <w:rPr>
        <w:rFonts w:hint="default"/>
        <w:sz w:val="20"/>
        <w:szCs w:val="20"/>
      </w:rPr>
    </w:lvl>
    <w:lvl w:ilvl="2">
      <w:start w:val="1"/>
      <w:numFmt w:val="decimal"/>
      <w:pStyle w:val="Cmsor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1F4B40A"/>
    <w:multiLevelType w:val="hybridMultilevel"/>
    <w:tmpl w:val="26D07D8E"/>
    <w:lvl w:ilvl="0" w:tplc="4AA4F3DE">
      <w:start w:val="1"/>
      <w:numFmt w:val="bullet"/>
      <w:lvlText w:val="Ø"/>
      <w:lvlJc w:val="left"/>
      <w:pPr>
        <w:ind w:left="720" w:hanging="360"/>
      </w:pPr>
      <w:rPr>
        <w:rFonts w:hint="default" w:ascii="Wingdings" w:hAnsi="Wingdings"/>
      </w:rPr>
    </w:lvl>
    <w:lvl w:ilvl="1" w:tplc="0CEC011A">
      <w:start w:val="1"/>
      <w:numFmt w:val="bullet"/>
      <w:lvlText w:val="o"/>
      <w:lvlJc w:val="left"/>
      <w:pPr>
        <w:ind w:left="1440" w:hanging="360"/>
      </w:pPr>
      <w:rPr>
        <w:rFonts w:hint="default" w:ascii="Courier New" w:hAnsi="Courier New"/>
      </w:rPr>
    </w:lvl>
    <w:lvl w:ilvl="2" w:tplc="B7B04A06">
      <w:start w:val="1"/>
      <w:numFmt w:val="bullet"/>
      <w:lvlText w:val=""/>
      <w:lvlJc w:val="left"/>
      <w:pPr>
        <w:ind w:left="2160" w:hanging="360"/>
      </w:pPr>
      <w:rPr>
        <w:rFonts w:hint="default" w:ascii="Wingdings" w:hAnsi="Wingdings"/>
      </w:rPr>
    </w:lvl>
    <w:lvl w:ilvl="3" w:tplc="21B6889E">
      <w:start w:val="1"/>
      <w:numFmt w:val="bullet"/>
      <w:lvlText w:val=""/>
      <w:lvlJc w:val="left"/>
      <w:pPr>
        <w:ind w:left="2880" w:hanging="360"/>
      </w:pPr>
      <w:rPr>
        <w:rFonts w:hint="default" w:ascii="Symbol" w:hAnsi="Symbol"/>
      </w:rPr>
    </w:lvl>
    <w:lvl w:ilvl="4" w:tplc="A2008B3E">
      <w:start w:val="1"/>
      <w:numFmt w:val="bullet"/>
      <w:lvlText w:val="o"/>
      <w:lvlJc w:val="left"/>
      <w:pPr>
        <w:ind w:left="3600" w:hanging="360"/>
      </w:pPr>
      <w:rPr>
        <w:rFonts w:hint="default" w:ascii="Courier New" w:hAnsi="Courier New"/>
      </w:rPr>
    </w:lvl>
    <w:lvl w:ilvl="5" w:tplc="2F62475C">
      <w:start w:val="1"/>
      <w:numFmt w:val="bullet"/>
      <w:lvlText w:val=""/>
      <w:lvlJc w:val="left"/>
      <w:pPr>
        <w:ind w:left="4320" w:hanging="360"/>
      </w:pPr>
      <w:rPr>
        <w:rFonts w:hint="default" w:ascii="Wingdings" w:hAnsi="Wingdings"/>
      </w:rPr>
    </w:lvl>
    <w:lvl w:ilvl="6" w:tplc="F752BA2C">
      <w:start w:val="1"/>
      <w:numFmt w:val="bullet"/>
      <w:lvlText w:val=""/>
      <w:lvlJc w:val="left"/>
      <w:pPr>
        <w:ind w:left="5040" w:hanging="360"/>
      </w:pPr>
      <w:rPr>
        <w:rFonts w:hint="default" w:ascii="Symbol" w:hAnsi="Symbol"/>
      </w:rPr>
    </w:lvl>
    <w:lvl w:ilvl="7" w:tplc="CAE67C94">
      <w:start w:val="1"/>
      <w:numFmt w:val="bullet"/>
      <w:lvlText w:val="o"/>
      <w:lvlJc w:val="left"/>
      <w:pPr>
        <w:ind w:left="5760" w:hanging="360"/>
      </w:pPr>
      <w:rPr>
        <w:rFonts w:hint="default" w:ascii="Courier New" w:hAnsi="Courier New"/>
      </w:rPr>
    </w:lvl>
    <w:lvl w:ilvl="8" w:tplc="D7C89C1C">
      <w:start w:val="1"/>
      <w:numFmt w:val="bullet"/>
      <w:lvlText w:val=""/>
      <w:lvlJc w:val="left"/>
      <w:pPr>
        <w:ind w:left="6480" w:hanging="360"/>
      </w:pPr>
      <w:rPr>
        <w:rFonts w:hint="default" w:ascii="Wingdings" w:hAnsi="Wingdings"/>
      </w:rPr>
    </w:lvl>
  </w:abstractNum>
  <w:abstractNum w:abstractNumId="3" w15:restartNumberingAfterBreak="0">
    <w:nsid w:val="05E2981F"/>
    <w:multiLevelType w:val="hybridMultilevel"/>
    <w:tmpl w:val="D57EC8DA"/>
    <w:lvl w:ilvl="0" w:tplc="015EDAF0">
      <w:start w:val="1"/>
      <w:numFmt w:val="bullet"/>
      <w:lvlText w:val="Ø"/>
      <w:lvlJc w:val="left"/>
      <w:pPr>
        <w:ind w:left="720" w:hanging="360"/>
      </w:pPr>
      <w:rPr>
        <w:rFonts w:hint="default" w:ascii="Wingdings" w:hAnsi="Wingdings"/>
      </w:rPr>
    </w:lvl>
    <w:lvl w:ilvl="1" w:tplc="AFB073C2">
      <w:start w:val="1"/>
      <w:numFmt w:val="bullet"/>
      <w:lvlText w:val="o"/>
      <w:lvlJc w:val="left"/>
      <w:pPr>
        <w:ind w:left="1440" w:hanging="360"/>
      </w:pPr>
      <w:rPr>
        <w:rFonts w:hint="default" w:ascii="Courier New" w:hAnsi="Courier New"/>
      </w:rPr>
    </w:lvl>
    <w:lvl w:ilvl="2" w:tplc="536A72D2">
      <w:start w:val="1"/>
      <w:numFmt w:val="bullet"/>
      <w:lvlText w:val=""/>
      <w:lvlJc w:val="left"/>
      <w:pPr>
        <w:ind w:left="2160" w:hanging="360"/>
      </w:pPr>
      <w:rPr>
        <w:rFonts w:hint="default" w:ascii="Wingdings" w:hAnsi="Wingdings"/>
      </w:rPr>
    </w:lvl>
    <w:lvl w:ilvl="3" w:tplc="79B2398C">
      <w:start w:val="1"/>
      <w:numFmt w:val="bullet"/>
      <w:lvlText w:val=""/>
      <w:lvlJc w:val="left"/>
      <w:pPr>
        <w:ind w:left="2880" w:hanging="360"/>
      </w:pPr>
      <w:rPr>
        <w:rFonts w:hint="default" w:ascii="Symbol" w:hAnsi="Symbol"/>
      </w:rPr>
    </w:lvl>
    <w:lvl w:ilvl="4" w:tplc="0D969C88">
      <w:start w:val="1"/>
      <w:numFmt w:val="bullet"/>
      <w:lvlText w:val="o"/>
      <w:lvlJc w:val="left"/>
      <w:pPr>
        <w:ind w:left="3600" w:hanging="360"/>
      </w:pPr>
      <w:rPr>
        <w:rFonts w:hint="default" w:ascii="Courier New" w:hAnsi="Courier New"/>
      </w:rPr>
    </w:lvl>
    <w:lvl w:ilvl="5" w:tplc="AA96C37E">
      <w:start w:val="1"/>
      <w:numFmt w:val="bullet"/>
      <w:lvlText w:val=""/>
      <w:lvlJc w:val="left"/>
      <w:pPr>
        <w:ind w:left="4320" w:hanging="360"/>
      </w:pPr>
      <w:rPr>
        <w:rFonts w:hint="default" w:ascii="Wingdings" w:hAnsi="Wingdings"/>
      </w:rPr>
    </w:lvl>
    <w:lvl w:ilvl="6" w:tplc="32D44402">
      <w:start w:val="1"/>
      <w:numFmt w:val="bullet"/>
      <w:lvlText w:val=""/>
      <w:lvlJc w:val="left"/>
      <w:pPr>
        <w:ind w:left="5040" w:hanging="360"/>
      </w:pPr>
      <w:rPr>
        <w:rFonts w:hint="default" w:ascii="Symbol" w:hAnsi="Symbol"/>
      </w:rPr>
    </w:lvl>
    <w:lvl w:ilvl="7" w:tplc="76EE2500">
      <w:start w:val="1"/>
      <w:numFmt w:val="bullet"/>
      <w:lvlText w:val="o"/>
      <w:lvlJc w:val="left"/>
      <w:pPr>
        <w:ind w:left="5760" w:hanging="360"/>
      </w:pPr>
      <w:rPr>
        <w:rFonts w:hint="default" w:ascii="Courier New" w:hAnsi="Courier New"/>
      </w:rPr>
    </w:lvl>
    <w:lvl w:ilvl="8" w:tplc="EB84C290">
      <w:start w:val="1"/>
      <w:numFmt w:val="bullet"/>
      <w:lvlText w:val=""/>
      <w:lvlJc w:val="left"/>
      <w:pPr>
        <w:ind w:left="6480" w:hanging="360"/>
      </w:pPr>
      <w:rPr>
        <w:rFonts w:hint="default" w:ascii="Wingdings" w:hAnsi="Wingdings"/>
      </w:rPr>
    </w:lvl>
  </w:abstractNum>
  <w:abstractNum w:abstractNumId="4"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5" w15:restartNumberingAfterBreak="0">
    <w:nsid w:val="0A600F39"/>
    <w:multiLevelType w:val="hybridMultilevel"/>
    <w:tmpl w:val="5B068210"/>
    <w:lvl w:ilvl="0" w:tplc="019C360A">
      <w:start w:val="1"/>
      <w:numFmt w:val="bullet"/>
      <w:lvlText w:val="Ø"/>
      <w:lvlJc w:val="left"/>
      <w:pPr>
        <w:ind w:left="720" w:hanging="360"/>
      </w:pPr>
      <w:rPr>
        <w:rFonts w:hint="default" w:ascii="Wingdings" w:hAnsi="Wingdings"/>
      </w:rPr>
    </w:lvl>
    <w:lvl w:ilvl="1" w:tplc="70E818CC">
      <w:start w:val="1"/>
      <w:numFmt w:val="bullet"/>
      <w:lvlText w:val="o"/>
      <w:lvlJc w:val="left"/>
      <w:pPr>
        <w:ind w:left="1440" w:hanging="360"/>
      </w:pPr>
      <w:rPr>
        <w:rFonts w:hint="default" w:ascii="Courier New" w:hAnsi="Courier New"/>
      </w:rPr>
    </w:lvl>
    <w:lvl w:ilvl="2" w:tplc="BE264748">
      <w:start w:val="1"/>
      <w:numFmt w:val="bullet"/>
      <w:lvlText w:val=""/>
      <w:lvlJc w:val="left"/>
      <w:pPr>
        <w:ind w:left="2160" w:hanging="360"/>
      </w:pPr>
      <w:rPr>
        <w:rFonts w:hint="default" w:ascii="Wingdings" w:hAnsi="Wingdings"/>
      </w:rPr>
    </w:lvl>
    <w:lvl w:ilvl="3" w:tplc="07967E48">
      <w:start w:val="1"/>
      <w:numFmt w:val="bullet"/>
      <w:lvlText w:val=""/>
      <w:lvlJc w:val="left"/>
      <w:pPr>
        <w:ind w:left="2880" w:hanging="360"/>
      </w:pPr>
      <w:rPr>
        <w:rFonts w:hint="default" w:ascii="Symbol" w:hAnsi="Symbol"/>
      </w:rPr>
    </w:lvl>
    <w:lvl w:ilvl="4" w:tplc="F46C6790">
      <w:start w:val="1"/>
      <w:numFmt w:val="bullet"/>
      <w:lvlText w:val="o"/>
      <w:lvlJc w:val="left"/>
      <w:pPr>
        <w:ind w:left="3600" w:hanging="360"/>
      </w:pPr>
      <w:rPr>
        <w:rFonts w:hint="default" w:ascii="Courier New" w:hAnsi="Courier New"/>
      </w:rPr>
    </w:lvl>
    <w:lvl w:ilvl="5" w:tplc="7F323526">
      <w:start w:val="1"/>
      <w:numFmt w:val="bullet"/>
      <w:lvlText w:val=""/>
      <w:lvlJc w:val="left"/>
      <w:pPr>
        <w:ind w:left="4320" w:hanging="360"/>
      </w:pPr>
      <w:rPr>
        <w:rFonts w:hint="default" w:ascii="Wingdings" w:hAnsi="Wingdings"/>
      </w:rPr>
    </w:lvl>
    <w:lvl w:ilvl="6" w:tplc="850C96EA">
      <w:start w:val="1"/>
      <w:numFmt w:val="bullet"/>
      <w:lvlText w:val=""/>
      <w:lvlJc w:val="left"/>
      <w:pPr>
        <w:ind w:left="5040" w:hanging="360"/>
      </w:pPr>
      <w:rPr>
        <w:rFonts w:hint="default" w:ascii="Symbol" w:hAnsi="Symbol"/>
      </w:rPr>
    </w:lvl>
    <w:lvl w:ilvl="7" w:tplc="34DC23B2">
      <w:start w:val="1"/>
      <w:numFmt w:val="bullet"/>
      <w:lvlText w:val="o"/>
      <w:lvlJc w:val="left"/>
      <w:pPr>
        <w:ind w:left="5760" w:hanging="360"/>
      </w:pPr>
      <w:rPr>
        <w:rFonts w:hint="default" w:ascii="Courier New" w:hAnsi="Courier New"/>
      </w:rPr>
    </w:lvl>
    <w:lvl w:ilvl="8" w:tplc="EC7ABAFA">
      <w:start w:val="1"/>
      <w:numFmt w:val="bullet"/>
      <w:lvlText w:val=""/>
      <w:lvlJc w:val="left"/>
      <w:pPr>
        <w:ind w:left="6480" w:hanging="360"/>
      </w:pPr>
      <w:rPr>
        <w:rFonts w:hint="default" w:ascii="Wingdings" w:hAnsi="Wingdings"/>
      </w:rPr>
    </w:lvl>
  </w:abstractNum>
  <w:abstractNum w:abstractNumId="6" w15:restartNumberingAfterBreak="0">
    <w:nsid w:val="107F1C69"/>
    <w:multiLevelType w:val="hybridMultilevel"/>
    <w:tmpl w:val="35C07F8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7" w15:restartNumberingAfterBreak="0">
    <w:nsid w:val="10ED7C94"/>
    <w:multiLevelType w:val="hybridMultilevel"/>
    <w:tmpl w:val="E938882E"/>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8" w15:restartNumberingAfterBreak="0">
    <w:nsid w:val="1674134E"/>
    <w:multiLevelType w:val="hybridMultilevel"/>
    <w:tmpl w:val="B5561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1F7608"/>
    <w:multiLevelType w:val="hybridMultilevel"/>
    <w:tmpl w:val="E0605A2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15:restartNumberingAfterBreak="0">
    <w:nsid w:val="224F04F9"/>
    <w:multiLevelType w:val="hybridMultilevel"/>
    <w:tmpl w:val="DC7AEAEA"/>
    <w:lvl w:ilvl="0" w:tplc="B20E7A38">
      <w:start w:val="1"/>
      <w:numFmt w:val="bullet"/>
      <w:lvlText w:val=""/>
      <w:lvlJc w:val="left"/>
      <w:pPr>
        <w:ind w:left="720" w:hanging="360"/>
      </w:pPr>
      <w:rPr>
        <w:rFonts w:hint="default" w:ascii="Symbol" w:hAnsi="Symbol"/>
      </w:rPr>
    </w:lvl>
    <w:lvl w:ilvl="1" w:tplc="5906C818">
      <w:start w:val="1"/>
      <w:numFmt w:val="bullet"/>
      <w:lvlText w:val="o"/>
      <w:lvlJc w:val="left"/>
      <w:pPr>
        <w:ind w:left="1440" w:hanging="360"/>
      </w:pPr>
      <w:rPr>
        <w:rFonts w:hint="default" w:ascii="Courier New" w:hAnsi="Courier New"/>
      </w:rPr>
    </w:lvl>
    <w:lvl w:ilvl="2" w:tplc="BC046BD2">
      <w:start w:val="1"/>
      <w:numFmt w:val="bullet"/>
      <w:lvlText w:val=""/>
      <w:lvlJc w:val="left"/>
      <w:pPr>
        <w:ind w:left="2160" w:hanging="360"/>
      </w:pPr>
      <w:rPr>
        <w:rFonts w:hint="default" w:ascii="Wingdings" w:hAnsi="Wingdings"/>
      </w:rPr>
    </w:lvl>
    <w:lvl w:ilvl="3" w:tplc="B6F2D58C">
      <w:start w:val="1"/>
      <w:numFmt w:val="bullet"/>
      <w:lvlText w:val=""/>
      <w:lvlJc w:val="left"/>
      <w:pPr>
        <w:ind w:left="2880" w:hanging="360"/>
      </w:pPr>
      <w:rPr>
        <w:rFonts w:hint="default" w:ascii="Symbol" w:hAnsi="Symbol"/>
      </w:rPr>
    </w:lvl>
    <w:lvl w:ilvl="4" w:tplc="F4806532">
      <w:start w:val="1"/>
      <w:numFmt w:val="bullet"/>
      <w:lvlText w:val="o"/>
      <w:lvlJc w:val="left"/>
      <w:pPr>
        <w:ind w:left="3600" w:hanging="360"/>
      </w:pPr>
      <w:rPr>
        <w:rFonts w:hint="default" w:ascii="Courier New" w:hAnsi="Courier New"/>
      </w:rPr>
    </w:lvl>
    <w:lvl w:ilvl="5" w:tplc="AC4C63DC">
      <w:start w:val="1"/>
      <w:numFmt w:val="bullet"/>
      <w:lvlText w:val=""/>
      <w:lvlJc w:val="left"/>
      <w:pPr>
        <w:ind w:left="4320" w:hanging="360"/>
      </w:pPr>
      <w:rPr>
        <w:rFonts w:hint="default" w:ascii="Wingdings" w:hAnsi="Wingdings"/>
      </w:rPr>
    </w:lvl>
    <w:lvl w:ilvl="6" w:tplc="79D2FF60">
      <w:start w:val="1"/>
      <w:numFmt w:val="bullet"/>
      <w:lvlText w:val=""/>
      <w:lvlJc w:val="left"/>
      <w:pPr>
        <w:ind w:left="5040" w:hanging="360"/>
      </w:pPr>
      <w:rPr>
        <w:rFonts w:hint="default" w:ascii="Symbol" w:hAnsi="Symbol"/>
      </w:rPr>
    </w:lvl>
    <w:lvl w:ilvl="7" w:tplc="A2CE2CC0">
      <w:start w:val="1"/>
      <w:numFmt w:val="bullet"/>
      <w:lvlText w:val="o"/>
      <w:lvlJc w:val="left"/>
      <w:pPr>
        <w:ind w:left="5760" w:hanging="360"/>
      </w:pPr>
      <w:rPr>
        <w:rFonts w:hint="default" w:ascii="Courier New" w:hAnsi="Courier New"/>
      </w:rPr>
    </w:lvl>
    <w:lvl w:ilvl="8" w:tplc="51C8C340">
      <w:start w:val="1"/>
      <w:numFmt w:val="bullet"/>
      <w:lvlText w:val=""/>
      <w:lvlJc w:val="left"/>
      <w:pPr>
        <w:ind w:left="6480" w:hanging="360"/>
      </w:pPr>
      <w:rPr>
        <w:rFonts w:hint="default" w:ascii="Wingdings" w:hAnsi="Wingdings"/>
      </w:rPr>
    </w:lvl>
  </w:abstractNum>
  <w:abstractNum w:abstractNumId="11" w15:restartNumberingAfterBreak="0">
    <w:nsid w:val="24A8F444"/>
    <w:multiLevelType w:val="hybridMultilevel"/>
    <w:tmpl w:val="E080351A"/>
    <w:lvl w:ilvl="0" w:tplc="7B12FEBC">
      <w:start w:val="1"/>
      <w:numFmt w:val="bullet"/>
      <w:lvlText w:val=""/>
      <w:lvlJc w:val="left"/>
      <w:pPr>
        <w:ind w:left="720" w:hanging="360"/>
      </w:pPr>
      <w:rPr>
        <w:rFonts w:hint="default" w:ascii="Symbol" w:hAnsi="Symbol"/>
      </w:rPr>
    </w:lvl>
    <w:lvl w:ilvl="1" w:tplc="FB3E1A42">
      <w:start w:val="1"/>
      <w:numFmt w:val="bullet"/>
      <w:lvlText w:val="o"/>
      <w:lvlJc w:val="left"/>
      <w:pPr>
        <w:ind w:left="1440" w:hanging="360"/>
      </w:pPr>
      <w:rPr>
        <w:rFonts w:hint="default" w:ascii="Courier New" w:hAnsi="Courier New"/>
      </w:rPr>
    </w:lvl>
    <w:lvl w:ilvl="2" w:tplc="C66008C0">
      <w:start w:val="1"/>
      <w:numFmt w:val="bullet"/>
      <w:lvlText w:val=""/>
      <w:lvlJc w:val="left"/>
      <w:pPr>
        <w:ind w:left="2160" w:hanging="360"/>
      </w:pPr>
      <w:rPr>
        <w:rFonts w:hint="default" w:ascii="Wingdings" w:hAnsi="Wingdings"/>
      </w:rPr>
    </w:lvl>
    <w:lvl w:ilvl="3" w:tplc="FC20E884">
      <w:start w:val="1"/>
      <w:numFmt w:val="bullet"/>
      <w:lvlText w:val=""/>
      <w:lvlJc w:val="left"/>
      <w:pPr>
        <w:ind w:left="2880" w:hanging="360"/>
      </w:pPr>
      <w:rPr>
        <w:rFonts w:hint="default" w:ascii="Symbol" w:hAnsi="Symbol"/>
      </w:rPr>
    </w:lvl>
    <w:lvl w:ilvl="4" w:tplc="C4DCC91A">
      <w:start w:val="1"/>
      <w:numFmt w:val="bullet"/>
      <w:lvlText w:val="o"/>
      <w:lvlJc w:val="left"/>
      <w:pPr>
        <w:ind w:left="3600" w:hanging="360"/>
      </w:pPr>
      <w:rPr>
        <w:rFonts w:hint="default" w:ascii="Courier New" w:hAnsi="Courier New"/>
      </w:rPr>
    </w:lvl>
    <w:lvl w:ilvl="5" w:tplc="79DEAEC0">
      <w:start w:val="1"/>
      <w:numFmt w:val="bullet"/>
      <w:lvlText w:val=""/>
      <w:lvlJc w:val="left"/>
      <w:pPr>
        <w:ind w:left="4320" w:hanging="360"/>
      </w:pPr>
      <w:rPr>
        <w:rFonts w:hint="default" w:ascii="Wingdings" w:hAnsi="Wingdings"/>
      </w:rPr>
    </w:lvl>
    <w:lvl w:ilvl="6" w:tplc="A628E7E8">
      <w:start w:val="1"/>
      <w:numFmt w:val="bullet"/>
      <w:lvlText w:val=""/>
      <w:lvlJc w:val="left"/>
      <w:pPr>
        <w:ind w:left="5040" w:hanging="360"/>
      </w:pPr>
      <w:rPr>
        <w:rFonts w:hint="default" w:ascii="Symbol" w:hAnsi="Symbol"/>
      </w:rPr>
    </w:lvl>
    <w:lvl w:ilvl="7" w:tplc="70CCBD34">
      <w:start w:val="1"/>
      <w:numFmt w:val="bullet"/>
      <w:lvlText w:val="o"/>
      <w:lvlJc w:val="left"/>
      <w:pPr>
        <w:ind w:left="5760" w:hanging="360"/>
      </w:pPr>
      <w:rPr>
        <w:rFonts w:hint="default" w:ascii="Courier New" w:hAnsi="Courier New"/>
      </w:rPr>
    </w:lvl>
    <w:lvl w:ilvl="8" w:tplc="E75C34C2">
      <w:start w:val="1"/>
      <w:numFmt w:val="bullet"/>
      <w:lvlText w:val=""/>
      <w:lvlJc w:val="left"/>
      <w:pPr>
        <w:ind w:left="6480" w:hanging="360"/>
      </w:pPr>
      <w:rPr>
        <w:rFonts w:hint="default" w:ascii="Wingdings" w:hAnsi="Wingdings"/>
      </w:rPr>
    </w:lvl>
  </w:abstractNum>
  <w:abstractNum w:abstractNumId="12" w15:restartNumberingAfterBreak="0">
    <w:nsid w:val="25D76045"/>
    <w:multiLevelType w:val="hybridMultilevel"/>
    <w:tmpl w:val="53FC50C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31705725"/>
    <w:multiLevelType w:val="hybridMultilevel"/>
    <w:tmpl w:val="C8BA220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4" w15:restartNumberingAfterBreak="0">
    <w:nsid w:val="33EA652D"/>
    <w:multiLevelType w:val="hybridMultilevel"/>
    <w:tmpl w:val="E8C6AE34"/>
    <w:lvl w:ilvl="0" w:tplc="FFFFFFFF">
      <w:start w:val="1"/>
      <w:numFmt w:val="bullet"/>
      <w:pStyle w:val="Listaszerbekezds"/>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39C83B89"/>
    <w:multiLevelType w:val="hybridMultilevel"/>
    <w:tmpl w:val="D7FA144E"/>
    <w:lvl w:ilvl="0" w:tplc="520C0928">
      <w:start w:val="1"/>
      <w:numFmt w:val="bullet"/>
      <w:lvlText w:val="·"/>
      <w:lvlJc w:val="left"/>
      <w:pPr>
        <w:ind w:left="720" w:hanging="360"/>
      </w:pPr>
      <w:rPr>
        <w:rFonts w:hint="default" w:ascii="Symbol" w:hAnsi="Symbol"/>
      </w:rPr>
    </w:lvl>
    <w:lvl w:ilvl="1" w:tplc="9C3E88CE">
      <w:start w:val="1"/>
      <w:numFmt w:val="bullet"/>
      <w:lvlText w:val="o"/>
      <w:lvlJc w:val="left"/>
      <w:pPr>
        <w:ind w:left="1440" w:hanging="360"/>
      </w:pPr>
      <w:rPr>
        <w:rFonts w:hint="default" w:ascii="Courier New" w:hAnsi="Courier New"/>
      </w:rPr>
    </w:lvl>
    <w:lvl w:ilvl="2" w:tplc="D39ED8AE">
      <w:start w:val="1"/>
      <w:numFmt w:val="bullet"/>
      <w:lvlText w:val=""/>
      <w:lvlJc w:val="left"/>
      <w:pPr>
        <w:ind w:left="2160" w:hanging="360"/>
      </w:pPr>
      <w:rPr>
        <w:rFonts w:hint="default" w:ascii="Wingdings" w:hAnsi="Wingdings"/>
      </w:rPr>
    </w:lvl>
    <w:lvl w:ilvl="3" w:tplc="2F7CEF5A">
      <w:start w:val="1"/>
      <w:numFmt w:val="bullet"/>
      <w:lvlText w:val=""/>
      <w:lvlJc w:val="left"/>
      <w:pPr>
        <w:ind w:left="2880" w:hanging="360"/>
      </w:pPr>
      <w:rPr>
        <w:rFonts w:hint="default" w:ascii="Symbol" w:hAnsi="Symbol"/>
      </w:rPr>
    </w:lvl>
    <w:lvl w:ilvl="4" w:tplc="F81CD876">
      <w:start w:val="1"/>
      <w:numFmt w:val="bullet"/>
      <w:lvlText w:val="o"/>
      <w:lvlJc w:val="left"/>
      <w:pPr>
        <w:ind w:left="3600" w:hanging="360"/>
      </w:pPr>
      <w:rPr>
        <w:rFonts w:hint="default" w:ascii="Courier New" w:hAnsi="Courier New"/>
      </w:rPr>
    </w:lvl>
    <w:lvl w:ilvl="5" w:tplc="BC22E258">
      <w:start w:val="1"/>
      <w:numFmt w:val="bullet"/>
      <w:lvlText w:val=""/>
      <w:lvlJc w:val="left"/>
      <w:pPr>
        <w:ind w:left="4320" w:hanging="360"/>
      </w:pPr>
      <w:rPr>
        <w:rFonts w:hint="default" w:ascii="Wingdings" w:hAnsi="Wingdings"/>
      </w:rPr>
    </w:lvl>
    <w:lvl w:ilvl="6" w:tplc="FE689160">
      <w:start w:val="1"/>
      <w:numFmt w:val="bullet"/>
      <w:lvlText w:val=""/>
      <w:lvlJc w:val="left"/>
      <w:pPr>
        <w:ind w:left="5040" w:hanging="360"/>
      </w:pPr>
      <w:rPr>
        <w:rFonts w:hint="default" w:ascii="Symbol" w:hAnsi="Symbol"/>
      </w:rPr>
    </w:lvl>
    <w:lvl w:ilvl="7" w:tplc="835CCD58">
      <w:start w:val="1"/>
      <w:numFmt w:val="bullet"/>
      <w:lvlText w:val="o"/>
      <w:lvlJc w:val="left"/>
      <w:pPr>
        <w:ind w:left="5760" w:hanging="360"/>
      </w:pPr>
      <w:rPr>
        <w:rFonts w:hint="default" w:ascii="Courier New" w:hAnsi="Courier New"/>
      </w:rPr>
    </w:lvl>
    <w:lvl w:ilvl="8" w:tplc="64207724">
      <w:start w:val="1"/>
      <w:numFmt w:val="bullet"/>
      <w:lvlText w:val=""/>
      <w:lvlJc w:val="left"/>
      <w:pPr>
        <w:ind w:left="6480" w:hanging="360"/>
      </w:pPr>
      <w:rPr>
        <w:rFonts w:hint="default" w:ascii="Wingdings" w:hAnsi="Wingdings"/>
      </w:rPr>
    </w:lvl>
  </w:abstractNum>
  <w:abstractNum w:abstractNumId="16" w15:restartNumberingAfterBreak="0">
    <w:nsid w:val="3DB48294"/>
    <w:multiLevelType w:val="multilevel"/>
    <w:tmpl w:val="2ABE304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2"/>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641C5B"/>
    <w:multiLevelType w:val="hybridMultilevel"/>
    <w:tmpl w:val="5D062D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F95660B"/>
    <w:multiLevelType w:val="hybridMultilevel"/>
    <w:tmpl w:val="4184EEA2"/>
    <w:lvl w:ilvl="0" w:tplc="5202A52C">
      <w:start w:val="1"/>
      <w:numFmt w:val="bullet"/>
      <w:lvlText w:val="·"/>
      <w:lvlJc w:val="left"/>
      <w:pPr>
        <w:ind w:left="720" w:hanging="360"/>
      </w:pPr>
      <w:rPr>
        <w:rFonts w:hint="default" w:ascii="Symbol" w:hAnsi="Symbol"/>
      </w:rPr>
    </w:lvl>
    <w:lvl w:ilvl="1" w:tplc="0742C662">
      <w:start w:val="1"/>
      <w:numFmt w:val="bullet"/>
      <w:lvlText w:val="o"/>
      <w:lvlJc w:val="left"/>
      <w:pPr>
        <w:ind w:left="1440" w:hanging="360"/>
      </w:pPr>
      <w:rPr>
        <w:rFonts w:hint="default" w:ascii="Courier New" w:hAnsi="Courier New"/>
      </w:rPr>
    </w:lvl>
    <w:lvl w:ilvl="2" w:tplc="597C418C">
      <w:start w:val="1"/>
      <w:numFmt w:val="bullet"/>
      <w:lvlText w:val=""/>
      <w:lvlJc w:val="left"/>
      <w:pPr>
        <w:ind w:left="2160" w:hanging="360"/>
      </w:pPr>
      <w:rPr>
        <w:rFonts w:hint="default" w:ascii="Wingdings" w:hAnsi="Wingdings"/>
      </w:rPr>
    </w:lvl>
    <w:lvl w:ilvl="3" w:tplc="E46A379E">
      <w:start w:val="1"/>
      <w:numFmt w:val="bullet"/>
      <w:lvlText w:val=""/>
      <w:lvlJc w:val="left"/>
      <w:pPr>
        <w:ind w:left="2880" w:hanging="360"/>
      </w:pPr>
      <w:rPr>
        <w:rFonts w:hint="default" w:ascii="Symbol" w:hAnsi="Symbol"/>
      </w:rPr>
    </w:lvl>
    <w:lvl w:ilvl="4" w:tplc="07EC50B8">
      <w:start w:val="1"/>
      <w:numFmt w:val="bullet"/>
      <w:lvlText w:val="o"/>
      <w:lvlJc w:val="left"/>
      <w:pPr>
        <w:ind w:left="3600" w:hanging="360"/>
      </w:pPr>
      <w:rPr>
        <w:rFonts w:hint="default" w:ascii="Courier New" w:hAnsi="Courier New"/>
      </w:rPr>
    </w:lvl>
    <w:lvl w:ilvl="5" w:tplc="26B2EAF6">
      <w:start w:val="1"/>
      <w:numFmt w:val="bullet"/>
      <w:lvlText w:val=""/>
      <w:lvlJc w:val="left"/>
      <w:pPr>
        <w:ind w:left="4320" w:hanging="360"/>
      </w:pPr>
      <w:rPr>
        <w:rFonts w:hint="default" w:ascii="Wingdings" w:hAnsi="Wingdings"/>
      </w:rPr>
    </w:lvl>
    <w:lvl w:ilvl="6" w:tplc="97C01970">
      <w:start w:val="1"/>
      <w:numFmt w:val="bullet"/>
      <w:lvlText w:val=""/>
      <w:lvlJc w:val="left"/>
      <w:pPr>
        <w:ind w:left="5040" w:hanging="360"/>
      </w:pPr>
      <w:rPr>
        <w:rFonts w:hint="default" w:ascii="Symbol" w:hAnsi="Symbol"/>
      </w:rPr>
    </w:lvl>
    <w:lvl w:ilvl="7" w:tplc="46FC9214">
      <w:start w:val="1"/>
      <w:numFmt w:val="bullet"/>
      <w:lvlText w:val="o"/>
      <w:lvlJc w:val="left"/>
      <w:pPr>
        <w:ind w:left="5760" w:hanging="360"/>
      </w:pPr>
      <w:rPr>
        <w:rFonts w:hint="default" w:ascii="Courier New" w:hAnsi="Courier New"/>
      </w:rPr>
    </w:lvl>
    <w:lvl w:ilvl="8" w:tplc="6C521990">
      <w:start w:val="1"/>
      <w:numFmt w:val="bullet"/>
      <w:lvlText w:val=""/>
      <w:lvlJc w:val="left"/>
      <w:pPr>
        <w:ind w:left="6480" w:hanging="360"/>
      </w:pPr>
      <w:rPr>
        <w:rFonts w:hint="default" w:ascii="Wingdings" w:hAnsi="Wingdings"/>
      </w:rPr>
    </w:lvl>
  </w:abstractNum>
  <w:abstractNum w:abstractNumId="19" w15:restartNumberingAfterBreak="0">
    <w:nsid w:val="415CECF9"/>
    <w:multiLevelType w:val="hybridMultilevel"/>
    <w:tmpl w:val="5E0E9E84"/>
    <w:lvl w:ilvl="0" w:tplc="A4967FBC">
      <w:start w:val="1"/>
      <w:numFmt w:val="bullet"/>
      <w:lvlText w:val=""/>
      <w:lvlJc w:val="left"/>
      <w:pPr>
        <w:ind w:left="720" w:hanging="360"/>
      </w:pPr>
      <w:rPr>
        <w:rFonts w:hint="default" w:ascii="Symbol" w:hAnsi="Symbol"/>
      </w:rPr>
    </w:lvl>
    <w:lvl w:ilvl="1" w:tplc="C39E1E82">
      <w:start w:val="1"/>
      <w:numFmt w:val="bullet"/>
      <w:lvlText w:val="o"/>
      <w:lvlJc w:val="left"/>
      <w:pPr>
        <w:ind w:left="1440" w:hanging="360"/>
      </w:pPr>
      <w:rPr>
        <w:rFonts w:hint="default" w:ascii="Courier New" w:hAnsi="Courier New"/>
      </w:rPr>
    </w:lvl>
    <w:lvl w:ilvl="2" w:tplc="C07A7F54">
      <w:start w:val="1"/>
      <w:numFmt w:val="bullet"/>
      <w:lvlText w:val=""/>
      <w:lvlJc w:val="left"/>
      <w:pPr>
        <w:ind w:left="2160" w:hanging="360"/>
      </w:pPr>
      <w:rPr>
        <w:rFonts w:hint="default" w:ascii="Wingdings" w:hAnsi="Wingdings"/>
      </w:rPr>
    </w:lvl>
    <w:lvl w:ilvl="3" w:tplc="42E23810">
      <w:start w:val="1"/>
      <w:numFmt w:val="bullet"/>
      <w:lvlText w:val=""/>
      <w:lvlJc w:val="left"/>
      <w:pPr>
        <w:ind w:left="2880" w:hanging="360"/>
      </w:pPr>
      <w:rPr>
        <w:rFonts w:hint="default" w:ascii="Symbol" w:hAnsi="Symbol"/>
      </w:rPr>
    </w:lvl>
    <w:lvl w:ilvl="4" w:tplc="1B46CCE6">
      <w:start w:val="1"/>
      <w:numFmt w:val="bullet"/>
      <w:lvlText w:val="o"/>
      <w:lvlJc w:val="left"/>
      <w:pPr>
        <w:ind w:left="3600" w:hanging="360"/>
      </w:pPr>
      <w:rPr>
        <w:rFonts w:hint="default" w:ascii="Courier New" w:hAnsi="Courier New"/>
      </w:rPr>
    </w:lvl>
    <w:lvl w:ilvl="5" w:tplc="465A6864">
      <w:start w:val="1"/>
      <w:numFmt w:val="bullet"/>
      <w:lvlText w:val=""/>
      <w:lvlJc w:val="left"/>
      <w:pPr>
        <w:ind w:left="4320" w:hanging="360"/>
      </w:pPr>
      <w:rPr>
        <w:rFonts w:hint="default" w:ascii="Wingdings" w:hAnsi="Wingdings"/>
      </w:rPr>
    </w:lvl>
    <w:lvl w:ilvl="6" w:tplc="65248ACC">
      <w:start w:val="1"/>
      <w:numFmt w:val="bullet"/>
      <w:lvlText w:val=""/>
      <w:lvlJc w:val="left"/>
      <w:pPr>
        <w:ind w:left="5040" w:hanging="360"/>
      </w:pPr>
      <w:rPr>
        <w:rFonts w:hint="default" w:ascii="Symbol" w:hAnsi="Symbol"/>
      </w:rPr>
    </w:lvl>
    <w:lvl w:ilvl="7" w:tplc="1708CDC2">
      <w:start w:val="1"/>
      <w:numFmt w:val="bullet"/>
      <w:lvlText w:val="o"/>
      <w:lvlJc w:val="left"/>
      <w:pPr>
        <w:ind w:left="5760" w:hanging="360"/>
      </w:pPr>
      <w:rPr>
        <w:rFonts w:hint="default" w:ascii="Courier New" w:hAnsi="Courier New"/>
      </w:rPr>
    </w:lvl>
    <w:lvl w:ilvl="8" w:tplc="036ED980">
      <w:start w:val="1"/>
      <w:numFmt w:val="bullet"/>
      <w:lvlText w:val=""/>
      <w:lvlJc w:val="left"/>
      <w:pPr>
        <w:ind w:left="6480" w:hanging="360"/>
      </w:pPr>
      <w:rPr>
        <w:rFonts w:hint="default" w:ascii="Wingdings" w:hAnsi="Wingdings"/>
      </w:rPr>
    </w:lvl>
  </w:abstractNum>
  <w:abstractNum w:abstractNumId="20" w15:restartNumberingAfterBreak="0">
    <w:nsid w:val="41A1D2A7"/>
    <w:multiLevelType w:val="hybridMultilevel"/>
    <w:tmpl w:val="D54A0ED2"/>
    <w:lvl w:ilvl="0" w:tplc="124678E6">
      <w:start w:val="1"/>
      <w:numFmt w:val="bullet"/>
      <w:lvlText w:val=""/>
      <w:lvlJc w:val="left"/>
      <w:pPr>
        <w:ind w:left="720" w:hanging="360"/>
      </w:pPr>
      <w:rPr>
        <w:rFonts w:hint="default" w:ascii="Symbol" w:hAnsi="Symbol"/>
      </w:rPr>
    </w:lvl>
    <w:lvl w:ilvl="1" w:tplc="7226AA02">
      <w:start w:val="1"/>
      <w:numFmt w:val="bullet"/>
      <w:lvlText w:val="o"/>
      <w:lvlJc w:val="left"/>
      <w:pPr>
        <w:ind w:left="1440" w:hanging="360"/>
      </w:pPr>
      <w:rPr>
        <w:rFonts w:hint="default" w:ascii="Courier New" w:hAnsi="Courier New"/>
      </w:rPr>
    </w:lvl>
    <w:lvl w:ilvl="2" w:tplc="BE9E324C">
      <w:start w:val="1"/>
      <w:numFmt w:val="bullet"/>
      <w:lvlText w:val=""/>
      <w:lvlJc w:val="left"/>
      <w:pPr>
        <w:ind w:left="2160" w:hanging="360"/>
      </w:pPr>
      <w:rPr>
        <w:rFonts w:hint="default" w:ascii="Wingdings" w:hAnsi="Wingdings"/>
      </w:rPr>
    </w:lvl>
    <w:lvl w:ilvl="3" w:tplc="F8323E04">
      <w:start w:val="1"/>
      <w:numFmt w:val="bullet"/>
      <w:lvlText w:val=""/>
      <w:lvlJc w:val="left"/>
      <w:pPr>
        <w:ind w:left="2880" w:hanging="360"/>
      </w:pPr>
      <w:rPr>
        <w:rFonts w:hint="default" w:ascii="Symbol" w:hAnsi="Symbol"/>
      </w:rPr>
    </w:lvl>
    <w:lvl w:ilvl="4" w:tplc="94424492">
      <w:start w:val="1"/>
      <w:numFmt w:val="bullet"/>
      <w:lvlText w:val="o"/>
      <w:lvlJc w:val="left"/>
      <w:pPr>
        <w:ind w:left="3600" w:hanging="360"/>
      </w:pPr>
      <w:rPr>
        <w:rFonts w:hint="default" w:ascii="Courier New" w:hAnsi="Courier New"/>
      </w:rPr>
    </w:lvl>
    <w:lvl w:ilvl="5" w:tplc="1576BE3A">
      <w:start w:val="1"/>
      <w:numFmt w:val="bullet"/>
      <w:lvlText w:val=""/>
      <w:lvlJc w:val="left"/>
      <w:pPr>
        <w:ind w:left="4320" w:hanging="360"/>
      </w:pPr>
      <w:rPr>
        <w:rFonts w:hint="default" w:ascii="Wingdings" w:hAnsi="Wingdings"/>
      </w:rPr>
    </w:lvl>
    <w:lvl w:ilvl="6" w:tplc="4986F784">
      <w:start w:val="1"/>
      <w:numFmt w:val="bullet"/>
      <w:lvlText w:val=""/>
      <w:lvlJc w:val="left"/>
      <w:pPr>
        <w:ind w:left="5040" w:hanging="360"/>
      </w:pPr>
      <w:rPr>
        <w:rFonts w:hint="default" w:ascii="Symbol" w:hAnsi="Symbol"/>
      </w:rPr>
    </w:lvl>
    <w:lvl w:ilvl="7" w:tplc="3DA4335A">
      <w:start w:val="1"/>
      <w:numFmt w:val="bullet"/>
      <w:lvlText w:val="o"/>
      <w:lvlJc w:val="left"/>
      <w:pPr>
        <w:ind w:left="5760" w:hanging="360"/>
      </w:pPr>
      <w:rPr>
        <w:rFonts w:hint="default" w:ascii="Courier New" w:hAnsi="Courier New"/>
      </w:rPr>
    </w:lvl>
    <w:lvl w:ilvl="8" w:tplc="89B6A318">
      <w:start w:val="1"/>
      <w:numFmt w:val="bullet"/>
      <w:lvlText w:val=""/>
      <w:lvlJc w:val="left"/>
      <w:pPr>
        <w:ind w:left="6480" w:hanging="360"/>
      </w:pPr>
      <w:rPr>
        <w:rFonts w:hint="default" w:ascii="Wingdings" w:hAnsi="Wingdings"/>
      </w:rPr>
    </w:lvl>
  </w:abstractNum>
  <w:abstractNum w:abstractNumId="21" w15:restartNumberingAfterBreak="0">
    <w:nsid w:val="45B21862"/>
    <w:multiLevelType w:val="hybridMultilevel"/>
    <w:tmpl w:val="B4688D86"/>
    <w:lvl w:ilvl="0" w:tplc="CF849ADC">
      <w:start w:val="1"/>
      <w:numFmt w:val="bullet"/>
      <w:lvlText w:val=""/>
      <w:lvlJc w:val="left"/>
      <w:pPr>
        <w:ind w:left="720" w:hanging="360"/>
      </w:pPr>
      <w:rPr>
        <w:rFonts w:hint="default" w:ascii="Symbol" w:hAnsi="Symbol"/>
      </w:rPr>
    </w:lvl>
    <w:lvl w:ilvl="1" w:tplc="84729B82">
      <w:start w:val="1"/>
      <w:numFmt w:val="bullet"/>
      <w:lvlText w:val="o"/>
      <w:lvlJc w:val="left"/>
      <w:pPr>
        <w:ind w:left="1440" w:hanging="360"/>
      </w:pPr>
      <w:rPr>
        <w:rFonts w:hint="default" w:ascii="Courier New" w:hAnsi="Courier New"/>
      </w:rPr>
    </w:lvl>
    <w:lvl w:ilvl="2" w:tplc="5E460BC0">
      <w:start w:val="1"/>
      <w:numFmt w:val="bullet"/>
      <w:lvlText w:val=""/>
      <w:lvlJc w:val="left"/>
      <w:pPr>
        <w:ind w:left="2160" w:hanging="360"/>
      </w:pPr>
      <w:rPr>
        <w:rFonts w:hint="default" w:ascii="Wingdings" w:hAnsi="Wingdings"/>
      </w:rPr>
    </w:lvl>
    <w:lvl w:ilvl="3" w:tplc="357EACEE">
      <w:start w:val="1"/>
      <w:numFmt w:val="bullet"/>
      <w:lvlText w:val=""/>
      <w:lvlJc w:val="left"/>
      <w:pPr>
        <w:ind w:left="2880" w:hanging="360"/>
      </w:pPr>
      <w:rPr>
        <w:rFonts w:hint="default" w:ascii="Symbol" w:hAnsi="Symbol"/>
      </w:rPr>
    </w:lvl>
    <w:lvl w:ilvl="4" w:tplc="D1A2C982">
      <w:start w:val="1"/>
      <w:numFmt w:val="bullet"/>
      <w:lvlText w:val="o"/>
      <w:lvlJc w:val="left"/>
      <w:pPr>
        <w:ind w:left="3600" w:hanging="360"/>
      </w:pPr>
      <w:rPr>
        <w:rFonts w:hint="default" w:ascii="Courier New" w:hAnsi="Courier New"/>
      </w:rPr>
    </w:lvl>
    <w:lvl w:ilvl="5" w:tplc="19F079C8">
      <w:start w:val="1"/>
      <w:numFmt w:val="bullet"/>
      <w:lvlText w:val=""/>
      <w:lvlJc w:val="left"/>
      <w:pPr>
        <w:ind w:left="4320" w:hanging="360"/>
      </w:pPr>
      <w:rPr>
        <w:rFonts w:hint="default" w:ascii="Wingdings" w:hAnsi="Wingdings"/>
      </w:rPr>
    </w:lvl>
    <w:lvl w:ilvl="6" w:tplc="4DE48D58">
      <w:start w:val="1"/>
      <w:numFmt w:val="bullet"/>
      <w:lvlText w:val=""/>
      <w:lvlJc w:val="left"/>
      <w:pPr>
        <w:ind w:left="5040" w:hanging="360"/>
      </w:pPr>
      <w:rPr>
        <w:rFonts w:hint="default" w:ascii="Symbol" w:hAnsi="Symbol"/>
      </w:rPr>
    </w:lvl>
    <w:lvl w:ilvl="7" w:tplc="1518A430">
      <w:start w:val="1"/>
      <w:numFmt w:val="bullet"/>
      <w:lvlText w:val="o"/>
      <w:lvlJc w:val="left"/>
      <w:pPr>
        <w:ind w:left="5760" w:hanging="360"/>
      </w:pPr>
      <w:rPr>
        <w:rFonts w:hint="default" w:ascii="Courier New" w:hAnsi="Courier New"/>
      </w:rPr>
    </w:lvl>
    <w:lvl w:ilvl="8" w:tplc="444EDDE4">
      <w:start w:val="1"/>
      <w:numFmt w:val="bullet"/>
      <w:lvlText w:val=""/>
      <w:lvlJc w:val="left"/>
      <w:pPr>
        <w:ind w:left="6480" w:hanging="360"/>
      </w:pPr>
      <w:rPr>
        <w:rFonts w:hint="default" w:ascii="Wingdings" w:hAnsi="Wingdings"/>
      </w:rPr>
    </w:lvl>
  </w:abstractNum>
  <w:abstractNum w:abstractNumId="22" w15:restartNumberingAfterBreak="0">
    <w:nsid w:val="49A8E18A"/>
    <w:multiLevelType w:val="hybridMultilevel"/>
    <w:tmpl w:val="A64AFD16"/>
    <w:lvl w:ilvl="0" w:tplc="FF4CD2BC">
      <w:start w:val="1"/>
      <w:numFmt w:val="bullet"/>
      <w:lvlText w:val="Ø"/>
      <w:lvlJc w:val="left"/>
      <w:pPr>
        <w:ind w:left="720" w:hanging="360"/>
      </w:pPr>
      <w:rPr>
        <w:rFonts w:hint="default" w:ascii="Wingdings" w:hAnsi="Wingdings"/>
      </w:rPr>
    </w:lvl>
    <w:lvl w:ilvl="1" w:tplc="314CA6CC">
      <w:start w:val="1"/>
      <w:numFmt w:val="bullet"/>
      <w:lvlText w:val="o"/>
      <w:lvlJc w:val="left"/>
      <w:pPr>
        <w:ind w:left="1440" w:hanging="360"/>
      </w:pPr>
      <w:rPr>
        <w:rFonts w:hint="default" w:ascii="Courier New" w:hAnsi="Courier New"/>
      </w:rPr>
    </w:lvl>
    <w:lvl w:ilvl="2" w:tplc="773EF282">
      <w:start w:val="1"/>
      <w:numFmt w:val="bullet"/>
      <w:lvlText w:val=""/>
      <w:lvlJc w:val="left"/>
      <w:pPr>
        <w:ind w:left="2160" w:hanging="360"/>
      </w:pPr>
      <w:rPr>
        <w:rFonts w:hint="default" w:ascii="Wingdings" w:hAnsi="Wingdings"/>
      </w:rPr>
    </w:lvl>
    <w:lvl w:ilvl="3" w:tplc="FC783EFE">
      <w:start w:val="1"/>
      <w:numFmt w:val="bullet"/>
      <w:lvlText w:val=""/>
      <w:lvlJc w:val="left"/>
      <w:pPr>
        <w:ind w:left="2880" w:hanging="360"/>
      </w:pPr>
      <w:rPr>
        <w:rFonts w:hint="default" w:ascii="Symbol" w:hAnsi="Symbol"/>
      </w:rPr>
    </w:lvl>
    <w:lvl w:ilvl="4" w:tplc="26CEFE46">
      <w:start w:val="1"/>
      <w:numFmt w:val="bullet"/>
      <w:lvlText w:val="o"/>
      <w:lvlJc w:val="left"/>
      <w:pPr>
        <w:ind w:left="3600" w:hanging="360"/>
      </w:pPr>
      <w:rPr>
        <w:rFonts w:hint="default" w:ascii="Courier New" w:hAnsi="Courier New"/>
      </w:rPr>
    </w:lvl>
    <w:lvl w:ilvl="5" w:tplc="4E14B7BA">
      <w:start w:val="1"/>
      <w:numFmt w:val="bullet"/>
      <w:lvlText w:val=""/>
      <w:lvlJc w:val="left"/>
      <w:pPr>
        <w:ind w:left="4320" w:hanging="360"/>
      </w:pPr>
      <w:rPr>
        <w:rFonts w:hint="default" w:ascii="Wingdings" w:hAnsi="Wingdings"/>
      </w:rPr>
    </w:lvl>
    <w:lvl w:ilvl="6" w:tplc="E86C086E">
      <w:start w:val="1"/>
      <w:numFmt w:val="bullet"/>
      <w:lvlText w:val=""/>
      <w:lvlJc w:val="left"/>
      <w:pPr>
        <w:ind w:left="5040" w:hanging="360"/>
      </w:pPr>
      <w:rPr>
        <w:rFonts w:hint="default" w:ascii="Symbol" w:hAnsi="Symbol"/>
      </w:rPr>
    </w:lvl>
    <w:lvl w:ilvl="7" w:tplc="C4F69774">
      <w:start w:val="1"/>
      <w:numFmt w:val="bullet"/>
      <w:lvlText w:val="o"/>
      <w:lvlJc w:val="left"/>
      <w:pPr>
        <w:ind w:left="5760" w:hanging="360"/>
      </w:pPr>
      <w:rPr>
        <w:rFonts w:hint="default" w:ascii="Courier New" w:hAnsi="Courier New"/>
      </w:rPr>
    </w:lvl>
    <w:lvl w:ilvl="8" w:tplc="DC96F320">
      <w:start w:val="1"/>
      <w:numFmt w:val="bullet"/>
      <w:lvlText w:val=""/>
      <w:lvlJc w:val="left"/>
      <w:pPr>
        <w:ind w:left="6480" w:hanging="360"/>
      </w:pPr>
      <w:rPr>
        <w:rFonts w:hint="default" w:ascii="Wingdings" w:hAnsi="Wingdings"/>
      </w:rPr>
    </w:lvl>
  </w:abstractNum>
  <w:abstractNum w:abstractNumId="23" w15:restartNumberingAfterBreak="0">
    <w:nsid w:val="4C7D23FD"/>
    <w:multiLevelType w:val="hybridMultilevel"/>
    <w:tmpl w:val="9474AED0"/>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4" w15:restartNumberingAfterBreak="0">
    <w:nsid w:val="4F5FAE86"/>
    <w:multiLevelType w:val="hybridMultilevel"/>
    <w:tmpl w:val="F5A8EE9C"/>
    <w:lvl w:ilvl="0" w:tplc="7BA02A3C">
      <w:start w:val="1"/>
      <w:numFmt w:val="decimal"/>
      <w:lvlText w:val="%1)"/>
      <w:lvlJc w:val="left"/>
      <w:pPr>
        <w:ind w:left="720" w:hanging="360"/>
      </w:pPr>
    </w:lvl>
    <w:lvl w:ilvl="1" w:tplc="B198BC8A">
      <w:start w:val="1"/>
      <w:numFmt w:val="lowerLetter"/>
      <w:lvlText w:val="%2."/>
      <w:lvlJc w:val="left"/>
      <w:pPr>
        <w:ind w:left="1440" w:hanging="360"/>
      </w:pPr>
    </w:lvl>
    <w:lvl w:ilvl="2" w:tplc="7088B036">
      <w:start w:val="1"/>
      <w:numFmt w:val="lowerRoman"/>
      <w:lvlText w:val="%3."/>
      <w:lvlJc w:val="right"/>
      <w:pPr>
        <w:ind w:left="2160" w:hanging="180"/>
      </w:pPr>
    </w:lvl>
    <w:lvl w:ilvl="3" w:tplc="99165208">
      <w:start w:val="1"/>
      <w:numFmt w:val="decimal"/>
      <w:lvlText w:val="%4."/>
      <w:lvlJc w:val="left"/>
      <w:pPr>
        <w:ind w:left="2880" w:hanging="360"/>
      </w:pPr>
    </w:lvl>
    <w:lvl w:ilvl="4" w:tplc="5172F38A">
      <w:start w:val="1"/>
      <w:numFmt w:val="lowerLetter"/>
      <w:lvlText w:val="%5."/>
      <w:lvlJc w:val="left"/>
      <w:pPr>
        <w:ind w:left="3600" w:hanging="360"/>
      </w:pPr>
    </w:lvl>
    <w:lvl w:ilvl="5" w:tplc="85EE8BEE">
      <w:start w:val="1"/>
      <w:numFmt w:val="lowerRoman"/>
      <w:lvlText w:val="%6."/>
      <w:lvlJc w:val="right"/>
      <w:pPr>
        <w:ind w:left="4320" w:hanging="180"/>
      </w:pPr>
    </w:lvl>
    <w:lvl w:ilvl="6" w:tplc="8F949F5A">
      <w:start w:val="1"/>
      <w:numFmt w:val="decimal"/>
      <w:lvlText w:val="%7."/>
      <w:lvlJc w:val="left"/>
      <w:pPr>
        <w:ind w:left="5040" w:hanging="360"/>
      </w:pPr>
    </w:lvl>
    <w:lvl w:ilvl="7" w:tplc="A6E42000">
      <w:start w:val="1"/>
      <w:numFmt w:val="lowerLetter"/>
      <w:lvlText w:val="%8."/>
      <w:lvlJc w:val="left"/>
      <w:pPr>
        <w:ind w:left="5760" w:hanging="360"/>
      </w:pPr>
    </w:lvl>
    <w:lvl w:ilvl="8" w:tplc="EC529E4C">
      <w:start w:val="1"/>
      <w:numFmt w:val="lowerRoman"/>
      <w:lvlText w:val="%9."/>
      <w:lvlJc w:val="right"/>
      <w:pPr>
        <w:ind w:left="6480" w:hanging="180"/>
      </w:pPr>
    </w:lvl>
  </w:abstractNum>
  <w:abstractNum w:abstractNumId="25" w15:restartNumberingAfterBreak="0">
    <w:nsid w:val="53261D08"/>
    <w:multiLevelType w:val="hybridMultilevel"/>
    <w:tmpl w:val="D24C26A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6" w15:restartNumberingAfterBreak="0">
    <w:nsid w:val="55AA2528"/>
    <w:multiLevelType w:val="hybridMultilevel"/>
    <w:tmpl w:val="4E9AC8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B9B593"/>
    <w:multiLevelType w:val="hybridMultilevel"/>
    <w:tmpl w:val="89424564"/>
    <w:lvl w:ilvl="0" w:tplc="83D2779C">
      <w:start w:val="1"/>
      <w:numFmt w:val="decimal"/>
      <w:lvlText w:val="%1)"/>
      <w:lvlJc w:val="left"/>
      <w:pPr>
        <w:ind w:left="720" w:hanging="360"/>
      </w:pPr>
    </w:lvl>
    <w:lvl w:ilvl="1" w:tplc="249AA522">
      <w:start w:val="1"/>
      <w:numFmt w:val="lowerLetter"/>
      <w:lvlText w:val="%2."/>
      <w:lvlJc w:val="left"/>
      <w:pPr>
        <w:ind w:left="1440" w:hanging="360"/>
      </w:pPr>
    </w:lvl>
    <w:lvl w:ilvl="2" w:tplc="8D0A2174">
      <w:start w:val="1"/>
      <w:numFmt w:val="lowerRoman"/>
      <w:lvlText w:val="%3."/>
      <w:lvlJc w:val="right"/>
      <w:pPr>
        <w:ind w:left="2160" w:hanging="180"/>
      </w:pPr>
    </w:lvl>
    <w:lvl w:ilvl="3" w:tplc="B10A5EDC">
      <w:start w:val="1"/>
      <w:numFmt w:val="decimal"/>
      <w:lvlText w:val="%4."/>
      <w:lvlJc w:val="left"/>
      <w:pPr>
        <w:ind w:left="2880" w:hanging="360"/>
      </w:pPr>
    </w:lvl>
    <w:lvl w:ilvl="4" w:tplc="9CD4005C">
      <w:start w:val="1"/>
      <w:numFmt w:val="lowerLetter"/>
      <w:lvlText w:val="%5."/>
      <w:lvlJc w:val="left"/>
      <w:pPr>
        <w:ind w:left="3600" w:hanging="360"/>
      </w:pPr>
    </w:lvl>
    <w:lvl w:ilvl="5" w:tplc="16EA8B76">
      <w:start w:val="1"/>
      <w:numFmt w:val="lowerRoman"/>
      <w:lvlText w:val="%6."/>
      <w:lvlJc w:val="right"/>
      <w:pPr>
        <w:ind w:left="4320" w:hanging="180"/>
      </w:pPr>
    </w:lvl>
    <w:lvl w:ilvl="6" w:tplc="CF627BA6">
      <w:start w:val="1"/>
      <w:numFmt w:val="decimal"/>
      <w:lvlText w:val="%7."/>
      <w:lvlJc w:val="left"/>
      <w:pPr>
        <w:ind w:left="5040" w:hanging="360"/>
      </w:pPr>
    </w:lvl>
    <w:lvl w:ilvl="7" w:tplc="17546DC0">
      <w:start w:val="1"/>
      <w:numFmt w:val="lowerLetter"/>
      <w:lvlText w:val="%8."/>
      <w:lvlJc w:val="left"/>
      <w:pPr>
        <w:ind w:left="5760" w:hanging="360"/>
      </w:pPr>
    </w:lvl>
    <w:lvl w:ilvl="8" w:tplc="F49A79F6">
      <w:start w:val="1"/>
      <w:numFmt w:val="lowerRoman"/>
      <w:lvlText w:val="%9."/>
      <w:lvlJc w:val="right"/>
      <w:pPr>
        <w:ind w:left="6480" w:hanging="180"/>
      </w:pPr>
    </w:lvl>
  </w:abstractNum>
  <w:abstractNum w:abstractNumId="28" w15:restartNumberingAfterBreak="0">
    <w:nsid w:val="633FD033"/>
    <w:multiLevelType w:val="hybridMultilevel"/>
    <w:tmpl w:val="227654BC"/>
    <w:lvl w:ilvl="0" w:tplc="022CD408">
      <w:start w:val="1"/>
      <w:numFmt w:val="bullet"/>
      <w:lvlText w:val="·"/>
      <w:lvlJc w:val="left"/>
      <w:pPr>
        <w:ind w:left="720" w:hanging="360"/>
      </w:pPr>
      <w:rPr>
        <w:rFonts w:hint="default" w:ascii="Symbol" w:hAnsi="Symbol"/>
      </w:rPr>
    </w:lvl>
    <w:lvl w:ilvl="1" w:tplc="F2902DDA">
      <w:start w:val="1"/>
      <w:numFmt w:val="bullet"/>
      <w:lvlText w:val="o"/>
      <w:lvlJc w:val="left"/>
      <w:pPr>
        <w:ind w:left="1440" w:hanging="360"/>
      </w:pPr>
      <w:rPr>
        <w:rFonts w:hint="default" w:ascii="Courier New" w:hAnsi="Courier New"/>
      </w:rPr>
    </w:lvl>
    <w:lvl w:ilvl="2" w:tplc="63680192">
      <w:start w:val="1"/>
      <w:numFmt w:val="bullet"/>
      <w:lvlText w:val=""/>
      <w:lvlJc w:val="left"/>
      <w:pPr>
        <w:ind w:left="2160" w:hanging="360"/>
      </w:pPr>
      <w:rPr>
        <w:rFonts w:hint="default" w:ascii="Wingdings" w:hAnsi="Wingdings"/>
      </w:rPr>
    </w:lvl>
    <w:lvl w:ilvl="3" w:tplc="9BAA6F0A">
      <w:start w:val="1"/>
      <w:numFmt w:val="bullet"/>
      <w:lvlText w:val=""/>
      <w:lvlJc w:val="left"/>
      <w:pPr>
        <w:ind w:left="2880" w:hanging="360"/>
      </w:pPr>
      <w:rPr>
        <w:rFonts w:hint="default" w:ascii="Symbol" w:hAnsi="Symbol"/>
      </w:rPr>
    </w:lvl>
    <w:lvl w:ilvl="4" w:tplc="315050F2">
      <w:start w:val="1"/>
      <w:numFmt w:val="bullet"/>
      <w:lvlText w:val="o"/>
      <w:lvlJc w:val="left"/>
      <w:pPr>
        <w:ind w:left="3600" w:hanging="360"/>
      </w:pPr>
      <w:rPr>
        <w:rFonts w:hint="default" w:ascii="Courier New" w:hAnsi="Courier New"/>
      </w:rPr>
    </w:lvl>
    <w:lvl w:ilvl="5" w:tplc="CB4A73C4">
      <w:start w:val="1"/>
      <w:numFmt w:val="bullet"/>
      <w:lvlText w:val=""/>
      <w:lvlJc w:val="left"/>
      <w:pPr>
        <w:ind w:left="4320" w:hanging="360"/>
      </w:pPr>
      <w:rPr>
        <w:rFonts w:hint="default" w:ascii="Wingdings" w:hAnsi="Wingdings"/>
      </w:rPr>
    </w:lvl>
    <w:lvl w:ilvl="6" w:tplc="B94E7394">
      <w:start w:val="1"/>
      <w:numFmt w:val="bullet"/>
      <w:lvlText w:val=""/>
      <w:lvlJc w:val="left"/>
      <w:pPr>
        <w:ind w:left="5040" w:hanging="360"/>
      </w:pPr>
      <w:rPr>
        <w:rFonts w:hint="default" w:ascii="Symbol" w:hAnsi="Symbol"/>
      </w:rPr>
    </w:lvl>
    <w:lvl w:ilvl="7" w:tplc="64EC3E58">
      <w:start w:val="1"/>
      <w:numFmt w:val="bullet"/>
      <w:lvlText w:val="o"/>
      <w:lvlJc w:val="left"/>
      <w:pPr>
        <w:ind w:left="5760" w:hanging="360"/>
      </w:pPr>
      <w:rPr>
        <w:rFonts w:hint="default" w:ascii="Courier New" w:hAnsi="Courier New"/>
      </w:rPr>
    </w:lvl>
    <w:lvl w:ilvl="8" w:tplc="32B225EC">
      <w:start w:val="1"/>
      <w:numFmt w:val="bullet"/>
      <w:lvlText w:val=""/>
      <w:lvlJc w:val="left"/>
      <w:pPr>
        <w:ind w:left="6480" w:hanging="360"/>
      </w:pPr>
      <w:rPr>
        <w:rFonts w:hint="default" w:ascii="Wingdings" w:hAnsi="Wingdings"/>
      </w:rPr>
    </w:lvl>
  </w:abstractNum>
  <w:abstractNum w:abstractNumId="29" w15:restartNumberingAfterBreak="0">
    <w:nsid w:val="683801C5"/>
    <w:multiLevelType w:val="hybridMultilevel"/>
    <w:tmpl w:val="05C4814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0" w15:restartNumberingAfterBreak="0">
    <w:nsid w:val="6E00899B"/>
    <w:multiLevelType w:val="hybridMultilevel"/>
    <w:tmpl w:val="D2E4F9BE"/>
    <w:lvl w:ilvl="0" w:tplc="A3520FF0">
      <w:start w:val="1"/>
      <w:numFmt w:val="bullet"/>
      <w:lvlText w:val=""/>
      <w:lvlJc w:val="left"/>
      <w:pPr>
        <w:ind w:left="720" w:hanging="360"/>
      </w:pPr>
      <w:rPr>
        <w:rFonts w:hint="default" w:ascii="Symbol" w:hAnsi="Symbol"/>
      </w:rPr>
    </w:lvl>
    <w:lvl w:ilvl="1" w:tplc="CADACA5E">
      <w:start w:val="1"/>
      <w:numFmt w:val="bullet"/>
      <w:lvlText w:val="o"/>
      <w:lvlJc w:val="left"/>
      <w:pPr>
        <w:ind w:left="1440" w:hanging="360"/>
      </w:pPr>
      <w:rPr>
        <w:rFonts w:hint="default" w:ascii="Courier New" w:hAnsi="Courier New"/>
      </w:rPr>
    </w:lvl>
    <w:lvl w:ilvl="2" w:tplc="F92E24F6">
      <w:start w:val="1"/>
      <w:numFmt w:val="bullet"/>
      <w:lvlText w:val=""/>
      <w:lvlJc w:val="left"/>
      <w:pPr>
        <w:ind w:left="2160" w:hanging="360"/>
      </w:pPr>
      <w:rPr>
        <w:rFonts w:hint="default" w:ascii="Wingdings" w:hAnsi="Wingdings"/>
      </w:rPr>
    </w:lvl>
    <w:lvl w:ilvl="3" w:tplc="566276A4">
      <w:start w:val="1"/>
      <w:numFmt w:val="bullet"/>
      <w:lvlText w:val=""/>
      <w:lvlJc w:val="left"/>
      <w:pPr>
        <w:ind w:left="2880" w:hanging="360"/>
      </w:pPr>
      <w:rPr>
        <w:rFonts w:hint="default" w:ascii="Symbol" w:hAnsi="Symbol"/>
      </w:rPr>
    </w:lvl>
    <w:lvl w:ilvl="4" w:tplc="FF888E88">
      <w:start w:val="1"/>
      <w:numFmt w:val="bullet"/>
      <w:lvlText w:val="o"/>
      <w:lvlJc w:val="left"/>
      <w:pPr>
        <w:ind w:left="3600" w:hanging="360"/>
      </w:pPr>
      <w:rPr>
        <w:rFonts w:hint="default" w:ascii="Courier New" w:hAnsi="Courier New"/>
      </w:rPr>
    </w:lvl>
    <w:lvl w:ilvl="5" w:tplc="5FC8ED62">
      <w:start w:val="1"/>
      <w:numFmt w:val="bullet"/>
      <w:lvlText w:val=""/>
      <w:lvlJc w:val="left"/>
      <w:pPr>
        <w:ind w:left="4320" w:hanging="360"/>
      </w:pPr>
      <w:rPr>
        <w:rFonts w:hint="default" w:ascii="Wingdings" w:hAnsi="Wingdings"/>
      </w:rPr>
    </w:lvl>
    <w:lvl w:ilvl="6" w:tplc="4AC6226A">
      <w:start w:val="1"/>
      <w:numFmt w:val="bullet"/>
      <w:lvlText w:val=""/>
      <w:lvlJc w:val="left"/>
      <w:pPr>
        <w:ind w:left="5040" w:hanging="360"/>
      </w:pPr>
      <w:rPr>
        <w:rFonts w:hint="default" w:ascii="Symbol" w:hAnsi="Symbol"/>
      </w:rPr>
    </w:lvl>
    <w:lvl w:ilvl="7" w:tplc="AA1C92FA">
      <w:start w:val="1"/>
      <w:numFmt w:val="bullet"/>
      <w:lvlText w:val="o"/>
      <w:lvlJc w:val="left"/>
      <w:pPr>
        <w:ind w:left="5760" w:hanging="360"/>
      </w:pPr>
      <w:rPr>
        <w:rFonts w:hint="default" w:ascii="Courier New" w:hAnsi="Courier New"/>
      </w:rPr>
    </w:lvl>
    <w:lvl w:ilvl="8" w:tplc="100CEAE8">
      <w:start w:val="1"/>
      <w:numFmt w:val="bullet"/>
      <w:lvlText w:val=""/>
      <w:lvlJc w:val="left"/>
      <w:pPr>
        <w:ind w:left="6480" w:hanging="360"/>
      </w:pPr>
      <w:rPr>
        <w:rFonts w:hint="default" w:ascii="Wingdings" w:hAnsi="Wingdings"/>
      </w:rPr>
    </w:lvl>
  </w:abstractNum>
  <w:abstractNum w:abstractNumId="31" w15:restartNumberingAfterBreak="0">
    <w:nsid w:val="6FE51D4B"/>
    <w:multiLevelType w:val="hybridMultilevel"/>
    <w:tmpl w:val="590A4850"/>
    <w:lvl w:ilvl="0" w:tplc="B7EC46EC">
      <w:start w:val="1"/>
      <w:numFmt w:val="bullet"/>
      <w:lvlText w:val=""/>
      <w:lvlJc w:val="left"/>
      <w:pPr>
        <w:ind w:left="720" w:hanging="360"/>
      </w:pPr>
      <w:rPr>
        <w:rFonts w:hint="default" w:ascii="Symbol" w:hAnsi="Symbol"/>
      </w:rPr>
    </w:lvl>
    <w:lvl w:ilvl="1" w:tplc="3A20479A">
      <w:start w:val="1"/>
      <w:numFmt w:val="bullet"/>
      <w:lvlText w:val="o"/>
      <w:lvlJc w:val="left"/>
      <w:pPr>
        <w:ind w:left="1440" w:hanging="360"/>
      </w:pPr>
      <w:rPr>
        <w:rFonts w:hint="default" w:ascii="Courier New" w:hAnsi="Courier New"/>
      </w:rPr>
    </w:lvl>
    <w:lvl w:ilvl="2" w:tplc="3D4ACA42">
      <w:start w:val="1"/>
      <w:numFmt w:val="bullet"/>
      <w:lvlText w:val=""/>
      <w:lvlJc w:val="left"/>
      <w:pPr>
        <w:ind w:left="2160" w:hanging="360"/>
      </w:pPr>
      <w:rPr>
        <w:rFonts w:hint="default" w:ascii="Wingdings" w:hAnsi="Wingdings"/>
      </w:rPr>
    </w:lvl>
    <w:lvl w:ilvl="3" w:tplc="0194C490">
      <w:start w:val="1"/>
      <w:numFmt w:val="bullet"/>
      <w:lvlText w:val=""/>
      <w:lvlJc w:val="left"/>
      <w:pPr>
        <w:ind w:left="2880" w:hanging="360"/>
      </w:pPr>
      <w:rPr>
        <w:rFonts w:hint="default" w:ascii="Symbol" w:hAnsi="Symbol"/>
      </w:rPr>
    </w:lvl>
    <w:lvl w:ilvl="4" w:tplc="528C3A34">
      <w:start w:val="1"/>
      <w:numFmt w:val="bullet"/>
      <w:lvlText w:val="o"/>
      <w:lvlJc w:val="left"/>
      <w:pPr>
        <w:ind w:left="3600" w:hanging="360"/>
      </w:pPr>
      <w:rPr>
        <w:rFonts w:hint="default" w:ascii="Courier New" w:hAnsi="Courier New"/>
      </w:rPr>
    </w:lvl>
    <w:lvl w:ilvl="5" w:tplc="68A28866">
      <w:start w:val="1"/>
      <w:numFmt w:val="bullet"/>
      <w:lvlText w:val=""/>
      <w:lvlJc w:val="left"/>
      <w:pPr>
        <w:ind w:left="4320" w:hanging="360"/>
      </w:pPr>
      <w:rPr>
        <w:rFonts w:hint="default" w:ascii="Wingdings" w:hAnsi="Wingdings"/>
      </w:rPr>
    </w:lvl>
    <w:lvl w:ilvl="6" w:tplc="32B807B2">
      <w:start w:val="1"/>
      <w:numFmt w:val="bullet"/>
      <w:lvlText w:val=""/>
      <w:lvlJc w:val="left"/>
      <w:pPr>
        <w:ind w:left="5040" w:hanging="360"/>
      </w:pPr>
      <w:rPr>
        <w:rFonts w:hint="default" w:ascii="Symbol" w:hAnsi="Symbol"/>
      </w:rPr>
    </w:lvl>
    <w:lvl w:ilvl="7" w:tplc="864236CC">
      <w:start w:val="1"/>
      <w:numFmt w:val="bullet"/>
      <w:lvlText w:val="o"/>
      <w:lvlJc w:val="left"/>
      <w:pPr>
        <w:ind w:left="5760" w:hanging="360"/>
      </w:pPr>
      <w:rPr>
        <w:rFonts w:hint="default" w:ascii="Courier New" w:hAnsi="Courier New"/>
      </w:rPr>
    </w:lvl>
    <w:lvl w:ilvl="8" w:tplc="A97A16C0">
      <w:start w:val="1"/>
      <w:numFmt w:val="bullet"/>
      <w:lvlText w:val=""/>
      <w:lvlJc w:val="left"/>
      <w:pPr>
        <w:ind w:left="6480" w:hanging="360"/>
      </w:pPr>
      <w:rPr>
        <w:rFonts w:hint="default" w:ascii="Wingdings" w:hAnsi="Wingdings"/>
      </w:rPr>
    </w:lvl>
  </w:abstractNum>
  <w:abstractNum w:abstractNumId="32" w15:restartNumberingAfterBreak="0">
    <w:nsid w:val="76A9344C"/>
    <w:multiLevelType w:val="hybridMultilevel"/>
    <w:tmpl w:val="120E2668"/>
    <w:lvl w:ilvl="0" w:tplc="BE8484A0">
      <w:start w:val="1"/>
      <w:numFmt w:val="bullet"/>
      <w:lvlText w:val="Ø"/>
      <w:lvlJc w:val="left"/>
      <w:pPr>
        <w:ind w:left="720" w:hanging="360"/>
      </w:pPr>
      <w:rPr>
        <w:rFonts w:hint="default" w:ascii="Wingdings" w:hAnsi="Wingdings"/>
      </w:rPr>
    </w:lvl>
    <w:lvl w:ilvl="1" w:tplc="864EE706">
      <w:start w:val="1"/>
      <w:numFmt w:val="bullet"/>
      <w:lvlText w:val="o"/>
      <w:lvlJc w:val="left"/>
      <w:pPr>
        <w:ind w:left="1440" w:hanging="360"/>
      </w:pPr>
      <w:rPr>
        <w:rFonts w:hint="default" w:ascii="Courier New" w:hAnsi="Courier New"/>
      </w:rPr>
    </w:lvl>
    <w:lvl w:ilvl="2" w:tplc="5C6AEA58">
      <w:start w:val="1"/>
      <w:numFmt w:val="bullet"/>
      <w:lvlText w:val=""/>
      <w:lvlJc w:val="left"/>
      <w:pPr>
        <w:ind w:left="2160" w:hanging="360"/>
      </w:pPr>
      <w:rPr>
        <w:rFonts w:hint="default" w:ascii="Wingdings" w:hAnsi="Wingdings"/>
      </w:rPr>
    </w:lvl>
    <w:lvl w:ilvl="3" w:tplc="D3BEA51C">
      <w:start w:val="1"/>
      <w:numFmt w:val="bullet"/>
      <w:lvlText w:val=""/>
      <w:lvlJc w:val="left"/>
      <w:pPr>
        <w:ind w:left="2880" w:hanging="360"/>
      </w:pPr>
      <w:rPr>
        <w:rFonts w:hint="default" w:ascii="Symbol" w:hAnsi="Symbol"/>
      </w:rPr>
    </w:lvl>
    <w:lvl w:ilvl="4" w:tplc="CFAEF9DA">
      <w:start w:val="1"/>
      <w:numFmt w:val="bullet"/>
      <w:lvlText w:val="o"/>
      <w:lvlJc w:val="left"/>
      <w:pPr>
        <w:ind w:left="3600" w:hanging="360"/>
      </w:pPr>
      <w:rPr>
        <w:rFonts w:hint="default" w:ascii="Courier New" w:hAnsi="Courier New"/>
      </w:rPr>
    </w:lvl>
    <w:lvl w:ilvl="5" w:tplc="DAEABB24">
      <w:start w:val="1"/>
      <w:numFmt w:val="bullet"/>
      <w:lvlText w:val=""/>
      <w:lvlJc w:val="left"/>
      <w:pPr>
        <w:ind w:left="4320" w:hanging="360"/>
      </w:pPr>
      <w:rPr>
        <w:rFonts w:hint="default" w:ascii="Wingdings" w:hAnsi="Wingdings"/>
      </w:rPr>
    </w:lvl>
    <w:lvl w:ilvl="6" w:tplc="E8AEFAC8">
      <w:start w:val="1"/>
      <w:numFmt w:val="bullet"/>
      <w:lvlText w:val=""/>
      <w:lvlJc w:val="left"/>
      <w:pPr>
        <w:ind w:left="5040" w:hanging="360"/>
      </w:pPr>
      <w:rPr>
        <w:rFonts w:hint="default" w:ascii="Symbol" w:hAnsi="Symbol"/>
      </w:rPr>
    </w:lvl>
    <w:lvl w:ilvl="7" w:tplc="553673E6">
      <w:start w:val="1"/>
      <w:numFmt w:val="bullet"/>
      <w:lvlText w:val="o"/>
      <w:lvlJc w:val="left"/>
      <w:pPr>
        <w:ind w:left="5760" w:hanging="360"/>
      </w:pPr>
      <w:rPr>
        <w:rFonts w:hint="default" w:ascii="Courier New" w:hAnsi="Courier New"/>
      </w:rPr>
    </w:lvl>
    <w:lvl w:ilvl="8" w:tplc="C5028FDA">
      <w:start w:val="1"/>
      <w:numFmt w:val="bullet"/>
      <w:lvlText w:val=""/>
      <w:lvlJc w:val="left"/>
      <w:pPr>
        <w:ind w:left="6480" w:hanging="360"/>
      </w:pPr>
      <w:rPr>
        <w:rFonts w:hint="default" w:ascii="Wingdings" w:hAnsi="Wingdings"/>
      </w:rPr>
    </w:lvl>
  </w:abstractNum>
  <w:abstractNum w:abstractNumId="33" w15:restartNumberingAfterBreak="0">
    <w:nsid w:val="793C137B"/>
    <w:multiLevelType w:val="hybridMultilevel"/>
    <w:tmpl w:val="6C243F4A"/>
    <w:lvl w:ilvl="0" w:tplc="56CC2310">
      <w:start w:val="1"/>
      <w:numFmt w:val="bullet"/>
      <w:lvlText w:val="Ø"/>
      <w:lvlJc w:val="left"/>
      <w:pPr>
        <w:ind w:left="720" w:hanging="360"/>
      </w:pPr>
      <w:rPr>
        <w:rFonts w:hint="default" w:ascii="Wingdings" w:hAnsi="Wingdings"/>
      </w:rPr>
    </w:lvl>
    <w:lvl w:ilvl="1" w:tplc="A6D61272">
      <w:start w:val="1"/>
      <w:numFmt w:val="bullet"/>
      <w:lvlText w:val="o"/>
      <w:lvlJc w:val="left"/>
      <w:pPr>
        <w:ind w:left="1440" w:hanging="360"/>
      </w:pPr>
      <w:rPr>
        <w:rFonts w:hint="default" w:ascii="Courier New" w:hAnsi="Courier New"/>
      </w:rPr>
    </w:lvl>
    <w:lvl w:ilvl="2" w:tplc="125EDD82">
      <w:start w:val="1"/>
      <w:numFmt w:val="bullet"/>
      <w:lvlText w:val=""/>
      <w:lvlJc w:val="left"/>
      <w:pPr>
        <w:ind w:left="2160" w:hanging="360"/>
      </w:pPr>
      <w:rPr>
        <w:rFonts w:hint="default" w:ascii="Wingdings" w:hAnsi="Wingdings"/>
      </w:rPr>
    </w:lvl>
    <w:lvl w:ilvl="3" w:tplc="4AA63A1A">
      <w:start w:val="1"/>
      <w:numFmt w:val="bullet"/>
      <w:lvlText w:val=""/>
      <w:lvlJc w:val="left"/>
      <w:pPr>
        <w:ind w:left="2880" w:hanging="360"/>
      </w:pPr>
      <w:rPr>
        <w:rFonts w:hint="default" w:ascii="Symbol" w:hAnsi="Symbol"/>
      </w:rPr>
    </w:lvl>
    <w:lvl w:ilvl="4" w:tplc="44C4A50A">
      <w:start w:val="1"/>
      <w:numFmt w:val="bullet"/>
      <w:lvlText w:val="o"/>
      <w:lvlJc w:val="left"/>
      <w:pPr>
        <w:ind w:left="3600" w:hanging="360"/>
      </w:pPr>
      <w:rPr>
        <w:rFonts w:hint="default" w:ascii="Courier New" w:hAnsi="Courier New"/>
      </w:rPr>
    </w:lvl>
    <w:lvl w:ilvl="5" w:tplc="1B0CD9D8">
      <w:start w:val="1"/>
      <w:numFmt w:val="bullet"/>
      <w:lvlText w:val=""/>
      <w:lvlJc w:val="left"/>
      <w:pPr>
        <w:ind w:left="4320" w:hanging="360"/>
      </w:pPr>
      <w:rPr>
        <w:rFonts w:hint="default" w:ascii="Wingdings" w:hAnsi="Wingdings"/>
      </w:rPr>
    </w:lvl>
    <w:lvl w:ilvl="6" w:tplc="C42A085C">
      <w:start w:val="1"/>
      <w:numFmt w:val="bullet"/>
      <w:lvlText w:val=""/>
      <w:lvlJc w:val="left"/>
      <w:pPr>
        <w:ind w:left="5040" w:hanging="360"/>
      </w:pPr>
      <w:rPr>
        <w:rFonts w:hint="default" w:ascii="Symbol" w:hAnsi="Symbol"/>
      </w:rPr>
    </w:lvl>
    <w:lvl w:ilvl="7" w:tplc="F92222C4">
      <w:start w:val="1"/>
      <w:numFmt w:val="bullet"/>
      <w:lvlText w:val="o"/>
      <w:lvlJc w:val="left"/>
      <w:pPr>
        <w:ind w:left="5760" w:hanging="360"/>
      </w:pPr>
      <w:rPr>
        <w:rFonts w:hint="default" w:ascii="Courier New" w:hAnsi="Courier New"/>
      </w:rPr>
    </w:lvl>
    <w:lvl w:ilvl="8" w:tplc="2506DAE6">
      <w:start w:val="1"/>
      <w:numFmt w:val="bullet"/>
      <w:lvlText w:val=""/>
      <w:lvlJc w:val="left"/>
      <w:pPr>
        <w:ind w:left="6480" w:hanging="360"/>
      </w:pPr>
      <w:rPr>
        <w:rFonts w:hint="default" w:ascii="Wingdings" w:hAnsi="Wingdings"/>
      </w:rPr>
    </w:lvl>
  </w:abstractNum>
  <w:abstractNum w:abstractNumId="34" w15:restartNumberingAfterBreak="0">
    <w:nsid w:val="7C6D2AC3"/>
    <w:multiLevelType w:val="hybridMultilevel"/>
    <w:tmpl w:val="C7BE5A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2485143">
    <w:abstractNumId w:val="28"/>
  </w:num>
  <w:num w:numId="2" w16cid:durableId="680357506">
    <w:abstractNumId w:val="5"/>
  </w:num>
  <w:num w:numId="3" w16cid:durableId="2060937747">
    <w:abstractNumId w:val="30"/>
  </w:num>
  <w:num w:numId="4" w16cid:durableId="1811358361">
    <w:abstractNumId w:val="3"/>
  </w:num>
  <w:num w:numId="5" w16cid:durableId="1190723786">
    <w:abstractNumId w:val="15"/>
  </w:num>
  <w:num w:numId="6" w16cid:durableId="821390821">
    <w:abstractNumId w:val="16"/>
  </w:num>
  <w:num w:numId="7" w16cid:durableId="1872721563">
    <w:abstractNumId w:val="18"/>
  </w:num>
  <w:num w:numId="8" w16cid:durableId="680087040">
    <w:abstractNumId w:val="19"/>
  </w:num>
  <w:num w:numId="9" w16cid:durableId="1635909694">
    <w:abstractNumId w:val="22"/>
  </w:num>
  <w:num w:numId="10" w16cid:durableId="875198578">
    <w:abstractNumId w:val="11"/>
  </w:num>
  <w:num w:numId="11" w16cid:durableId="1355958447">
    <w:abstractNumId w:val="32"/>
  </w:num>
  <w:num w:numId="12" w16cid:durableId="2103597779">
    <w:abstractNumId w:val="24"/>
  </w:num>
  <w:num w:numId="13" w16cid:durableId="46616141">
    <w:abstractNumId w:val="27"/>
  </w:num>
  <w:num w:numId="14" w16cid:durableId="1161195087">
    <w:abstractNumId w:val="2"/>
  </w:num>
  <w:num w:numId="15" w16cid:durableId="730271021">
    <w:abstractNumId w:val="10"/>
  </w:num>
  <w:num w:numId="16" w16cid:durableId="1126922851">
    <w:abstractNumId w:val="33"/>
  </w:num>
  <w:num w:numId="17" w16cid:durableId="497188236">
    <w:abstractNumId w:val="21"/>
  </w:num>
  <w:num w:numId="18" w16cid:durableId="1074471093">
    <w:abstractNumId w:val="20"/>
  </w:num>
  <w:num w:numId="19" w16cid:durableId="395708118">
    <w:abstractNumId w:val="31"/>
  </w:num>
  <w:num w:numId="20" w16cid:durableId="1449081146">
    <w:abstractNumId w:val="0"/>
  </w:num>
  <w:num w:numId="21" w16cid:durableId="1306549568">
    <w:abstractNumId w:val="1"/>
  </w:num>
  <w:num w:numId="22" w16cid:durableId="1666934881">
    <w:abstractNumId w:val="4"/>
  </w:num>
  <w:num w:numId="23" w16cid:durableId="91125233">
    <w:abstractNumId w:val="14"/>
  </w:num>
  <w:num w:numId="24" w16cid:durableId="1713650068">
    <w:abstractNumId w:val="9"/>
  </w:num>
  <w:num w:numId="25" w16cid:durableId="1546865005">
    <w:abstractNumId w:val="6"/>
  </w:num>
  <w:num w:numId="26" w16cid:durableId="322977823">
    <w:abstractNumId w:val="12"/>
  </w:num>
  <w:num w:numId="27" w16cid:durableId="1264845098">
    <w:abstractNumId w:val="25"/>
  </w:num>
  <w:num w:numId="28" w16cid:durableId="322244475">
    <w:abstractNumId w:val="7"/>
  </w:num>
  <w:num w:numId="29" w16cid:durableId="1132286553">
    <w:abstractNumId w:val="29"/>
  </w:num>
  <w:num w:numId="30" w16cid:durableId="372658122">
    <w:abstractNumId w:val="23"/>
  </w:num>
  <w:num w:numId="31" w16cid:durableId="1642464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60471459">
    <w:abstractNumId w:val="13"/>
  </w:num>
  <w:num w:numId="33" w16cid:durableId="416245481">
    <w:abstractNumId w:val="26"/>
  </w:num>
  <w:num w:numId="34" w16cid:durableId="1845508046">
    <w:abstractNumId w:val="8"/>
  </w:num>
  <w:num w:numId="35" w16cid:durableId="735664676">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lang="en-US" w:vendorID="64" w:dllVersion="0" w:nlCheck="1" w:checkStyle="0" w:appName="MSWord"/>
  <w:proofState w:spelling="clean" w:grammar="dirty"/>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0CD6"/>
    <w:rsid w:val="000117A1"/>
    <w:rsid w:val="00012A18"/>
    <w:rsid w:val="000132F1"/>
    <w:rsid w:val="00013349"/>
    <w:rsid w:val="00014760"/>
    <w:rsid w:val="00014A39"/>
    <w:rsid w:val="000154B3"/>
    <w:rsid w:val="000157F5"/>
    <w:rsid w:val="000174CE"/>
    <w:rsid w:val="00023541"/>
    <w:rsid w:val="00023DC1"/>
    <w:rsid w:val="00024CE5"/>
    <w:rsid w:val="0003177A"/>
    <w:rsid w:val="000322DF"/>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9172A"/>
    <w:rsid w:val="00091BF0"/>
    <w:rsid w:val="0009262E"/>
    <w:rsid w:val="00094092"/>
    <w:rsid w:val="000942F1"/>
    <w:rsid w:val="00094B8B"/>
    <w:rsid w:val="00096BEB"/>
    <w:rsid w:val="000973A1"/>
    <w:rsid w:val="000A0DA3"/>
    <w:rsid w:val="000A2EBA"/>
    <w:rsid w:val="000A448D"/>
    <w:rsid w:val="000A4B34"/>
    <w:rsid w:val="000A4D1B"/>
    <w:rsid w:val="000A738F"/>
    <w:rsid w:val="000B404C"/>
    <w:rsid w:val="000B7FD6"/>
    <w:rsid w:val="000C18CB"/>
    <w:rsid w:val="000C32EB"/>
    <w:rsid w:val="000C44AB"/>
    <w:rsid w:val="000C6897"/>
    <w:rsid w:val="000D04AD"/>
    <w:rsid w:val="000D0B5F"/>
    <w:rsid w:val="000D1123"/>
    <w:rsid w:val="000D3894"/>
    <w:rsid w:val="000D45F3"/>
    <w:rsid w:val="000D4B57"/>
    <w:rsid w:val="000D6BF4"/>
    <w:rsid w:val="000D6C0B"/>
    <w:rsid w:val="000D6DD1"/>
    <w:rsid w:val="000E2048"/>
    <w:rsid w:val="000E46EB"/>
    <w:rsid w:val="000F2B70"/>
    <w:rsid w:val="000F5331"/>
    <w:rsid w:val="000F587D"/>
    <w:rsid w:val="000F5FA9"/>
    <w:rsid w:val="000F6153"/>
    <w:rsid w:val="000F6F33"/>
    <w:rsid w:val="000F70A1"/>
    <w:rsid w:val="00100ADC"/>
    <w:rsid w:val="00101424"/>
    <w:rsid w:val="001019EC"/>
    <w:rsid w:val="001131A3"/>
    <w:rsid w:val="0011509D"/>
    <w:rsid w:val="001163B8"/>
    <w:rsid w:val="00116AB3"/>
    <w:rsid w:val="00116AF0"/>
    <w:rsid w:val="00117487"/>
    <w:rsid w:val="001206B9"/>
    <w:rsid w:val="0012099C"/>
    <w:rsid w:val="001216B4"/>
    <w:rsid w:val="00122715"/>
    <w:rsid w:val="001252E3"/>
    <w:rsid w:val="001255D2"/>
    <w:rsid w:val="00126055"/>
    <w:rsid w:val="001320F7"/>
    <w:rsid w:val="00132D08"/>
    <w:rsid w:val="00132E30"/>
    <w:rsid w:val="0013307E"/>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3C7B"/>
    <w:rsid w:val="00196093"/>
    <w:rsid w:val="001965FD"/>
    <w:rsid w:val="001A3401"/>
    <w:rsid w:val="001A5490"/>
    <w:rsid w:val="001A5890"/>
    <w:rsid w:val="001A6087"/>
    <w:rsid w:val="001A6186"/>
    <w:rsid w:val="001A7F6F"/>
    <w:rsid w:val="001B054C"/>
    <w:rsid w:val="001B5DC1"/>
    <w:rsid w:val="001B637C"/>
    <w:rsid w:val="001B6F7A"/>
    <w:rsid w:val="001B79CD"/>
    <w:rsid w:val="001C037B"/>
    <w:rsid w:val="001C1395"/>
    <w:rsid w:val="001C1A50"/>
    <w:rsid w:val="001C1AF1"/>
    <w:rsid w:val="001C1E82"/>
    <w:rsid w:val="001C665E"/>
    <w:rsid w:val="001C77D2"/>
    <w:rsid w:val="001D1D46"/>
    <w:rsid w:val="001D236D"/>
    <w:rsid w:val="001D2753"/>
    <w:rsid w:val="001D3BDC"/>
    <w:rsid w:val="001D3C7A"/>
    <w:rsid w:val="001D3EFB"/>
    <w:rsid w:val="001D4F26"/>
    <w:rsid w:val="001D7083"/>
    <w:rsid w:val="001D7547"/>
    <w:rsid w:val="001D7F8E"/>
    <w:rsid w:val="001E181C"/>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0698"/>
    <w:rsid w:val="0020465C"/>
    <w:rsid w:val="00204EF1"/>
    <w:rsid w:val="002061F2"/>
    <w:rsid w:val="00206D17"/>
    <w:rsid w:val="00207B72"/>
    <w:rsid w:val="0021005C"/>
    <w:rsid w:val="0021292B"/>
    <w:rsid w:val="0021368F"/>
    <w:rsid w:val="0021475A"/>
    <w:rsid w:val="00215880"/>
    <w:rsid w:val="002163B9"/>
    <w:rsid w:val="002205E0"/>
    <w:rsid w:val="00220F6E"/>
    <w:rsid w:val="00221421"/>
    <w:rsid w:val="00221588"/>
    <w:rsid w:val="00222A95"/>
    <w:rsid w:val="00224821"/>
    <w:rsid w:val="0022555D"/>
    <w:rsid w:val="00227DC2"/>
    <w:rsid w:val="00227E77"/>
    <w:rsid w:val="0023099E"/>
    <w:rsid w:val="00230C6F"/>
    <w:rsid w:val="0023383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2671"/>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4E70"/>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892"/>
    <w:rsid w:val="003058BE"/>
    <w:rsid w:val="00305C1D"/>
    <w:rsid w:val="003072D2"/>
    <w:rsid w:val="00307E2B"/>
    <w:rsid w:val="00311CE0"/>
    <w:rsid w:val="00314BF7"/>
    <w:rsid w:val="003160AB"/>
    <w:rsid w:val="00321818"/>
    <w:rsid w:val="003232DC"/>
    <w:rsid w:val="003234D6"/>
    <w:rsid w:val="00323AEE"/>
    <w:rsid w:val="003276DD"/>
    <w:rsid w:val="00331E90"/>
    <w:rsid w:val="0033389C"/>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3CEE"/>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33A1"/>
    <w:rsid w:val="00493BC1"/>
    <w:rsid w:val="00494568"/>
    <w:rsid w:val="004951CD"/>
    <w:rsid w:val="0049536E"/>
    <w:rsid w:val="00495854"/>
    <w:rsid w:val="00496E5B"/>
    <w:rsid w:val="004A5D49"/>
    <w:rsid w:val="004A6790"/>
    <w:rsid w:val="004A71AD"/>
    <w:rsid w:val="004A7EEF"/>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E14F4"/>
    <w:rsid w:val="004E2B1F"/>
    <w:rsid w:val="004E454D"/>
    <w:rsid w:val="004E52A6"/>
    <w:rsid w:val="004E57C2"/>
    <w:rsid w:val="004E7E15"/>
    <w:rsid w:val="004F34DD"/>
    <w:rsid w:val="004F4AA5"/>
    <w:rsid w:val="004F4E50"/>
    <w:rsid w:val="004F6406"/>
    <w:rsid w:val="004F651E"/>
    <w:rsid w:val="00505D0B"/>
    <w:rsid w:val="005157F8"/>
    <w:rsid w:val="00516866"/>
    <w:rsid w:val="00516BEC"/>
    <w:rsid w:val="005173BA"/>
    <w:rsid w:val="00520329"/>
    <w:rsid w:val="005240DC"/>
    <w:rsid w:val="00524683"/>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82"/>
    <w:rsid w:val="005905ED"/>
    <w:rsid w:val="00590E15"/>
    <w:rsid w:val="00594545"/>
    <w:rsid w:val="00595CD1"/>
    <w:rsid w:val="0059688D"/>
    <w:rsid w:val="00597358"/>
    <w:rsid w:val="005977EB"/>
    <w:rsid w:val="0059783C"/>
    <w:rsid w:val="005A076A"/>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509B"/>
    <w:rsid w:val="00625E61"/>
    <w:rsid w:val="00626111"/>
    <w:rsid w:val="00630853"/>
    <w:rsid w:val="00630EAB"/>
    <w:rsid w:val="006319F6"/>
    <w:rsid w:val="00631E44"/>
    <w:rsid w:val="0063252E"/>
    <w:rsid w:val="00632A66"/>
    <w:rsid w:val="006341EB"/>
    <w:rsid w:val="006376B1"/>
    <w:rsid w:val="0063771F"/>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0A0B"/>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3E9B"/>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318"/>
    <w:rsid w:val="006E1975"/>
    <w:rsid w:val="006E428F"/>
    <w:rsid w:val="006E4333"/>
    <w:rsid w:val="006E56A3"/>
    <w:rsid w:val="006F71E9"/>
    <w:rsid w:val="006F78DB"/>
    <w:rsid w:val="006F7CA3"/>
    <w:rsid w:val="00701309"/>
    <w:rsid w:val="00702E31"/>
    <w:rsid w:val="00702E51"/>
    <w:rsid w:val="0070397E"/>
    <w:rsid w:val="00705511"/>
    <w:rsid w:val="00710A62"/>
    <w:rsid w:val="00712187"/>
    <w:rsid w:val="00712AE9"/>
    <w:rsid w:val="00713D0E"/>
    <w:rsid w:val="00715F7A"/>
    <w:rsid w:val="00716A97"/>
    <w:rsid w:val="0072062A"/>
    <w:rsid w:val="0072083D"/>
    <w:rsid w:val="0072214D"/>
    <w:rsid w:val="0072284C"/>
    <w:rsid w:val="00724040"/>
    <w:rsid w:val="00727CF7"/>
    <w:rsid w:val="00730990"/>
    <w:rsid w:val="00731C5C"/>
    <w:rsid w:val="007322FB"/>
    <w:rsid w:val="00732F63"/>
    <w:rsid w:val="007350A7"/>
    <w:rsid w:val="00736EE0"/>
    <w:rsid w:val="00737BA1"/>
    <w:rsid w:val="00740E67"/>
    <w:rsid w:val="00743075"/>
    <w:rsid w:val="007438C2"/>
    <w:rsid w:val="00743D25"/>
    <w:rsid w:val="00744808"/>
    <w:rsid w:val="0074601C"/>
    <w:rsid w:val="00746368"/>
    <w:rsid w:val="00746454"/>
    <w:rsid w:val="00746AAD"/>
    <w:rsid w:val="00746E21"/>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B8C"/>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25958"/>
    <w:rsid w:val="00830711"/>
    <w:rsid w:val="00830BB0"/>
    <w:rsid w:val="008310D4"/>
    <w:rsid w:val="0083167B"/>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2E3C"/>
    <w:rsid w:val="0087347C"/>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913"/>
    <w:rsid w:val="008B4D38"/>
    <w:rsid w:val="008B4FC2"/>
    <w:rsid w:val="008B61ED"/>
    <w:rsid w:val="008B65EF"/>
    <w:rsid w:val="008B704E"/>
    <w:rsid w:val="008C0382"/>
    <w:rsid w:val="008C0885"/>
    <w:rsid w:val="008C0B04"/>
    <w:rsid w:val="008C447C"/>
    <w:rsid w:val="008C6389"/>
    <w:rsid w:val="008D076D"/>
    <w:rsid w:val="008D2382"/>
    <w:rsid w:val="008D28BD"/>
    <w:rsid w:val="008D418F"/>
    <w:rsid w:val="008D4307"/>
    <w:rsid w:val="008D5795"/>
    <w:rsid w:val="008D610B"/>
    <w:rsid w:val="008D7916"/>
    <w:rsid w:val="008E22FF"/>
    <w:rsid w:val="008E2B03"/>
    <w:rsid w:val="008E2EB1"/>
    <w:rsid w:val="008E434A"/>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21AA"/>
    <w:rsid w:val="0093347F"/>
    <w:rsid w:val="0093679F"/>
    <w:rsid w:val="00936F34"/>
    <w:rsid w:val="00937F30"/>
    <w:rsid w:val="009407AA"/>
    <w:rsid w:val="00944E0C"/>
    <w:rsid w:val="00945089"/>
    <w:rsid w:val="009526E1"/>
    <w:rsid w:val="00956276"/>
    <w:rsid w:val="009578F9"/>
    <w:rsid w:val="0096542B"/>
    <w:rsid w:val="00967EED"/>
    <w:rsid w:val="00970B20"/>
    <w:rsid w:val="00976D05"/>
    <w:rsid w:val="00977F82"/>
    <w:rsid w:val="009802CA"/>
    <w:rsid w:val="00981719"/>
    <w:rsid w:val="00984F90"/>
    <w:rsid w:val="0098615E"/>
    <w:rsid w:val="00987E64"/>
    <w:rsid w:val="009925F3"/>
    <w:rsid w:val="009929AA"/>
    <w:rsid w:val="009931B7"/>
    <w:rsid w:val="00993719"/>
    <w:rsid w:val="009947CA"/>
    <w:rsid w:val="00994D94"/>
    <w:rsid w:val="00995A66"/>
    <w:rsid w:val="00996B6A"/>
    <w:rsid w:val="00996D78"/>
    <w:rsid w:val="009977CB"/>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0EA"/>
    <w:rsid w:val="009E2229"/>
    <w:rsid w:val="009E2675"/>
    <w:rsid w:val="009E4557"/>
    <w:rsid w:val="009E460B"/>
    <w:rsid w:val="009E503F"/>
    <w:rsid w:val="009E6965"/>
    <w:rsid w:val="009E7C7E"/>
    <w:rsid w:val="009F2992"/>
    <w:rsid w:val="009F3880"/>
    <w:rsid w:val="009F5513"/>
    <w:rsid w:val="009F634A"/>
    <w:rsid w:val="009F70D2"/>
    <w:rsid w:val="009F7528"/>
    <w:rsid w:val="00A00037"/>
    <w:rsid w:val="00A0452A"/>
    <w:rsid w:val="00A05A6C"/>
    <w:rsid w:val="00A06770"/>
    <w:rsid w:val="00A11909"/>
    <w:rsid w:val="00A141AD"/>
    <w:rsid w:val="00A16CF1"/>
    <w:rsid w:val="00A17041"/>
    <w:rsid w:val="00A22445"/>
    <w:rsid w:val="00A23570"/>
    <w:rsid w:val="00A2465A"/>
    <w:rsid w:val="00A25BB1"/>
    <w:rsid w:val="00A25F70"/>
    <w:rsid w:val="00A25FD6"/>
    <w:rsid w:val="00A272E5"/>
    <w:rsid w:val="00A277CD"/>
    <w:rsid w:val="00A27CA1"/>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B0E"/>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4994"/>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7244"/>
    <w:rsid w:val="00AC1C17"/>
    <w:rsid w:val="00AC4D19"/>
    <w:rsid w:val="00AC6725"/>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F42"/>
    <w:rsid w:val="00B129DF"/>
    <w:rsid w:val="00B16B11"/>
    <w:rsid w:val="00B201D4"/>
    <w:rsid w:val="00B22BF7"/>
    <w:rsid w:val="00B24BD7"/>
    <w:rsid w:val="00B264D6"/>
    <w:rsid w:val="00B3077A"/>
    <w:rsid w:val="00B309A5"/>
    <w:rsid w:val="00B30FE7"/>
    <w:rsid w:val="00B3237A"/>
    <w:rsid w:val="00B336BD"/>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6FBA"/>
    <w:rsid w:val="00B67A96"/>
    <w:rsid w:val="00B710CE"/>
    <w:rsid w:val="00B71986"/>
    <w:rsid w:val="00B74194"/>
    <w:rsid w:val="00B75153"/>
    <w:rsid w:val="00B76379"/>
    <w:rsid w:val="00B763F5"/>
    <w:rsid w:val="00B7680D"/>
    <w:rsid w:val="00B778EC"/>
    <w:rsid w:val="00B804CC"/>
    <w:rsid w:val="00B80F12"/>
    <w:rsid w:val="00B81D6E"/>
    <w:rsid w:val="00B83292"/>
    <w:rsid w:val="00B868AE"/>
    <w:rsid w:val="00B86C55"/>
    <w:rsid w:val="00B917C5"/>
    <w:rsid w:val="00B9181D"/>
    <w:rsid w:val="00B94B61"/>
    <w:rsid w:val="00B94D62"/>
    <w:rsid w:val="00B974EB"/>
    <w:rsid w:val="00B9753B"/>
    <w:rsid w:val="00BA1833"/>
    <w:rsid w:val="00BA1B14"/>
    <w:rsid w:val="00BA1CA6"/>
    <w:rsid w:val="00BA310B"/>
    <w:rsid w:val="00BA3911"/>
    <w:rsid w:val="00BA731A"/>
    <w:rsid w:val="00BB10C7"/>
    <w:rsid w:val="00BB1D63"/>
    <w:rsid w:val="00BB1DD4"/>
    <w:rsid w:val="00BB5515"/>
    <w:rsid w:val="00BB57A9"/>
    <w:rsid w:val="00BB581C"/>
    <w:rsid w:val="00BC198D"/>
    <w:rsid w:val="00BC1AB2"/>
    <w:rsid w:val="00BC249C"/>
    <w:rsid w:val="00BC2ED9"/>
    <w:rsid w:val="00BC359E"/>
    <w:rsid w:val="00BC7B8A"/>
    <w:rsid w:val="00BD0BC6"/>
    <w:rsid w:val="00BD10C5"/>
    <w:rsid w:val="00BD14A6"/>
    <w:rsid w:val="00BD1896"/>
    <w:rsid w:val="00BD2AB6"/>
    <w:rsid w:val="00BD2BEC"/>
    <w:rsid w:val="00BD2E1B"/>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BA6"/>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32C0"/>
    <w:rsid w:val="00C6445F"/>
    <w:rsid w:val="00C656B4"/>
    <w:rsid w:val="00C66D74"/>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D6493"/>
    <w:rsid w:val="00CE322E"/>
    <w:rsid w:val="00CE33AD"/>
    <w:rsid w:val="00CE4A42"/>
    <w:rsid w:val="00CE610E"/>
    <w:rsid w:val="00CE6A3B"/>
    <w:rsid w:val="00CE70E0"/>
    <w:rsid w:val="00CE7987"/>
    <w:rsid w:val="00CF1F75"/>
    <w:rsid w:val="00CF2CDD"/>
    <w:rsid w:val="00CF3110"/>
    <w:rsid w:val="00CF37FE"/>
    <w:rsid w:val="00CF5BA7"/>
    <w:rsid w:val="00CF6EFC"/>
    <w:rsid w:val="00D0314D"/>
    <w:rsid w:val="00D05688"/>
    <w:rsid w:val="00D05EB6"/>
    <w:rsid w:val="00D06577"/>
    <w:rsid w:val="00D075EF"/>
    <w:rsid w:val="00D107AA"/>
    <w:rsid w:val="00D13576"/>
    <w:rsid w:val="00D13FE5"/>
    <w:rsid w:val="00D1426D"/>
    <w:rsid w:val="00D1447B"/>
    <w:rsid w:val="00D14AAF"/>
    <w:rsid w:val="00D17D9D"/>
    <w:rsid w:val="00D2063E"/>
    <w:rsid w:val="00D209B0"/>
    <w:rsid w:val="00D22723"/>
    <w:rsid w:val="00D25563"/>
    <w:rsid w:val="00D32193"/>
    <w:rsid w:val="00D32EDF"/>
    <w:rsid w:val="00D350FB"/>
    <w:rsid w:val="00D379D3"/>
    <w:rsid w:val="00D4201C"/>
    <w:rsid w:val="00D43314"/>
    <w:rsid w:val="00D439ED"/>
    <w:rsid w:val="00D43B83"/>
    <w:rsid w:val="00D44DED"/>
    <w:rsid w:val="00D45EA3"/>
    <w:rsid w:val="00D46052"/>
    <w:rsid w:val="00D51BEE"/>
    <w:rsid w:val="00D532AF"/>
    <w:rsid w:val="00D54188"/>
    <w:rsid w:val="00D638C1"/>
    <w:rsid w:val="00D709D7"/>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7B4"/>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5B5"/>
    <w:rsid w:val="00E30A86"/>
    <w:rsid w:val="00E313E3"/>
    <w:rsid w:val="00E3345C"/>
    <w:rsid w:val="00E33958"/>
    <w:rsid w:val="00E33DA9"/>
    <w:rsid w:val="00E345A4"/>
    <w:rsid w:val="00E3582A"/>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1DD"/>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818"/>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4AFA"/>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3285"/>
    <w:rsid w:val="00F151DA"/>
    <w:rsid w:val="00F1524F"/>
    <w:rsid w:val="00F162EE"/>
    <w:rsid w:val="00F200C2"/>
    <w:rsid w:val="00F20DE6"/>
    <w:rsid w:val="00F26B81"/>
    <w:rsid w:val="00F307B7"/>
    <w:rsid w:val="00F327EA"/>
    <w:rsid w:val="00F32E42"/>
    <w:rsid w:val="00F354A9"/>
    <w:rsid w:val="00F367B3"/>
    <w:rsid w:val="00F36923"/>
    <w:rsid w:val="00F40D50"/>
    <w:rsid w:val="00F43218"/>
    <w:rsid w:val="00F433FD"/>
    <w:rsid w:val="00F454F8"/>
    <w:rsid w:val="00F4633C"/>
    <w:rsid w:val="00F51376"/>
    <w:rsid w:val="00F52B86"/>
    <w:rsid w:val="00F54264"/>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97ACA"/>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7638"/>
    <w:rsid w:val="00FE1287"/>
    <w:rsid w:val="00FE1D58"/>
    <w:rsid w:val="00FE2047"/>
    <w:rsid w:val="00FE31F0"/>
    <w:rsid w:val="00FF08CD"/>
    <w:rsid w:val="00FF0EAB"/>
    <w:rsid w:val="00FF6879"/>
    <w:rsid w:val="00FF7425"/>
    <w:rsid w:val="0275277F"/>
    <w:rsid w:val="0337AEE3"/>
    <w:rsid w:val="03A10B5B"/>
    <w:rsid w:val="03D1E99D"/>
    <w:rsid w:val="05BBF3CA"/>
    <w:rsid w:val="06328981"/>
    <w:rsid w:val="06A36541"/>
    <w:rsid w:val="078C19D1"/>
    <w:rsid w:val="07FB5893"/>
    <w:rsid w:val="08A9DCEC"/>
    <w:rsid w:val="08E20653"/>
    <w:rsid w:val="08EC558C"/>
    <w:rsid w:val="08FF82AA"/>
    <w:rsid w:val="0A478607"/>
    <w:rsid w:val="0B7D601B"/>
    <w:rsid w:val="0C7285B3"/>
    <w:rsid w:val="0EF847BD"/>
    <w:rsid w:val="1056CD3B"/>
    <w:rsid w:val="1206729B"/>
    <w:rsid w:val="13A7972D"/>
    <w:rsid w:val="14BD641E"/>
    <w:rsid w:val="150BEB0C"/>
    <w:rsid w:val="15184F9D"/>
    <w:rsid w:val="1712EE10"/>
    <w:rsid w:val="186BA0BC"/>
    <w:rsid w:val="18728DE7"/>
    <w:rsid w:val="1B71AFF0"/>
    <w:rsid w:val="1F7169EE"/>
    <w:rsid w:val="2A056BA6"/>
    <w:rsid w:val="2C383192"/>
    <w:rsid w:val="2D0E8A79"/>
    <w:rsid w:val="2F56F7B2"/>
    <w:rsid w:val="30BC569F"/>
    <w:rsid w:val="31968F46"/>
    <w:rsid w:val="330C4A78"/>
    <w:rsid w:val="33722880"/>
    <w:rsid w:val="350BE172"/>
    <w:rsid w:val="353D789D"/>
    <w:rsid w:val="35BA0DD8"/>
    <w:rsid w:val="368B2507"/>
    <w:rsid w:val="37F2883E"/>
    <w:rsid w:val="3946F685"/>
    <w:rsid w:val="39F8A7DF"/>
    <w:rsid w:val="3A72A992"/>
    <w:rsid w:val="3D3D809A"/>
    <w:rsid w:val="3D981E1E"/>
    <w:rsid w:val="40DEDE49"/>
    <w:rsid w:val="4111B396"/>
    <w:rsid w:val="418B4A05"/>
    <w:rsid w:val="42EBDE4D"/>
    <w:rsid w:val="43F8EDFD"/>
    <w:rsid w:val="4531C545"/>
    <w:rsid w:val="46655C65"/>
    <w:rsid w:val="47911D65"/>
    <w:rsid w:val="47F38FE6"/>
    <w:rsid w:val="4864F730"/>
    <w:rsid w:val="4A15EC48"/>
    <w:rsid w:val="4B871C0C"/>
    <w:rsid w:val="4C729C82"/>
    <w:rsid w:val="4E254F5D"/>
    <w:rsid w:val="4E2EA32C"/>
    <w:rsid w:val="4F7B3265"/>
    <w:rsid w:val="52AA4229"/>
    <w:rsid w:val="5357A3F2"/>
    <w:rsid w:val="53906C6C"/>
    <w:rsid w:val="54BA0226"/>
    <w:rsid w:val="54C48B70"/>
    <w:rsid w:val="54D56723"/>
    <w:rsid w:val="5906B1B4"/>
    <w:rsid w:val="5FAAD1B6"/>
    <w:rsid w:val="60323CDF"/>
    <w:rsid w:val="613C8602"/>
    <w:rsid w:val="6149DEF9"/>
    <w:rsid w:val="61BB5E6B"/>
    <w:rsid w:val="63C23343"/>
    <w:rsid w:val="66E3057A"/>
    <w:rsid w:val="68B23AC4"/>
    <w:rsid w:val="6A3B69B8"/>
    <w:rsid w:val="6B5F0224"/>
    <w:rsid w:val="70F185EC"/>
    <w:rsid w:val="71C00715"/>
    <w:rsid w:val="741C923F"/>
    <w:rsid w:val="762F2B4E"/>
    <w:rsid w:val="76E6E2AF"/>
    <w:rsid w:val="76F534AC"/>
    <w:rsid w:val="785A7BF0"/>
    <w:rsid w:val="79707633"/>
    <w:rsid w:val="799E5D96"/>
    <w:rsid w:val="7AE538F3"/>
    <w:rsid w:val="7E6F3C2B"/>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 w:default="1">
    <w:name w:val="Normal"/>
    <w:qFormat/>
    <w:rsid w:val="00B53F9D"/>
    <w:pPr>
      <w:spacing w:after="0" w:line="312" w:lineRule="auto"/>
      <w:jc w:val="both"/>
    </w:pPr>
    <w:rPr>
      <w:rFonts w:ascii="Arial" w:hAnsi="Arial" w:eastAsiaTheme="minorEastAsia"/>
      <w:sz w:val="20"/>
      <w:szCs w:val="20"/>
    </w:rPr>
  </w:style>
  <w:style w:type="paragraph" w:styleId="Cmsor1">
    <w:name w:val="heading 1"/>
    <w:basedOn w:val="Norml"/>
    <w:next w:val="Norml"/>
    <w:link w:val="Cmsor1Char"/>
    <w:qFormat/>
    <w:rsid w:val="00544905"/>
    <w:pPr>
      <w:keepNext/>
      <w:numPr>
        <w:numId w:val="21"/>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Cmsor2">
    <w:name w:val="heading 2"/>
    <w:basedOn w:val="Cmsor1"/>
    <w:next w:val="Norml"/>
    <w:link w:val="Cmsor2Char"/>
    <w:qFormat/>
    <w:rsid w:val="00544905"/>
    <w:pPr>
      <w:numPr>
        <w:ilvl w:val="1"/>
      </w:numPr>
      <w:spacing w:before="280" w:after="120"/>
      <w:outlineLvl w:val="1"/>
    </w:pPr>
    <w:rPr>
      <w:caps w:val="0"/>
    </w:rPr>
  </w:style>
  <w:style w:type="paragraph" w:styleId="Cmsor3">
    <w:name w:val="heading 3"/>
    <w:basedOn w:val="Cmsor2"/>
    <w:next w:val="Norml"/>
    <w:link w:val="Cmsor3Char"/>
    <w:qFormat/>
    <w:rsid w:val="00544905"/>
    <w:pPr>
      <w:numPr>
        <w:ilvl w:val="2"/>
      </w:numPr>
      <w:spacing w:after="60"/>
      <w:outlineLvl w:val="2"/>
    </w:pPr>
    <w:rPr>
      <w:sz w:val="22"/>
    </w:rPr>
  </w:style>
  <w:style w:type="paragraph" w:styleId="Cmsor4">
    <w:name w:val="heading 4"/>
    <w:basedOn w:val="Cmsor3"/>
    <w:next w:val="Norml"/>
    <w:link w:val="Cmsor4Char"/>
    <w:qFormat/>
    <w:rsid w:val="00544905"/>
    <w:pPr>
      <w:numPr>
        <w:ilvl w:val="0"/>
        <w:numId w:val="0"/>
      </w:numPr>
      <w:spacing w:line="312" w:lineRule="auto"/>
      <w:outlineLvl w:val="3"/>
    </w:pPr>
    <w:rPr>
      <w:i/>
      <w:iCs/>
      <w:kern w:val="32"/>
      <w:sz w:val="20"/>
      <w:szCs w:val="28"/>
    </w:rPr>
  </w:style>
  <w:style w:type="paragraph" w:styleId="Cmsor5">
    <w:name w:val="heading 5"/>
    <w:basedOn w:val="Cmsor4"/>
    <w:next w:val="Norml"/>
    <w:link w:val="Cmsor5Char"/>
    <w:qFormat/>
    <w:rsid w:val="006712D8"/>
    <w:pPr>
      <w:outlineLvl w:val="4"/>
    </w:pPr>
    <w:rPr>
      <w:b/>
      <w:bCs/>
      <w:i w:val="0"/>
      <w:iCs w:val="0"/>
      <w:szCs w:val="26"/>
    </w:rPr>
  </w:style>
  <w:style w:type="paragraph" w:styleId="Cmsor6">
    <w:name w:val="heading 6"/>
    <w:basedOn w:val="Norml"/>
    <w:next w:val="Norml"/>
    <w:link w:val="Cmsor6Char"/>
    <w:uiPriority w:val="9"/>
    <w:unhideWhenUsed/>
    <w:rsid w:val="00544905"/>
    <w:pPr>
      <w:keepNext/>
      <w:keepLines/>
      <w:spacing w:before="200"/>
      <w:outlineLvl w:val="5"/>
    </w:pPr>
    <w:rPr>
      <w:rFonts w:eastAsiaTheme="majorEastAsia" w:cstheme="majorBidi"/>
      <w:i/>
      <w:iCs/>
    </w:rPr>
  </w:style>
  <w:style w:type="paragraph" w:styleId="Cmsor7">
    <w:name w:val="heading 7"/>
    <w:basedOn w:val="Norml"/>
    <w:next w:val="Norml"/>
    <w:link w:val="Cmsor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Bekezdsalapbettpusa" w:default="1">
    <w:name w:val="Default Paragraph Font"/>
    <w:uiPriority w:val="1"/>
    <w:semiHidden/>
    <w:unhideWhenUsed/>
  </w:style>
  <w:style w:type="table" w:styleId="Normltblzat" w:default="1">
    <w:name w:val="Normal Table"/>
    <w:uiPriority w:val="99"/>
    <w:semiHidden/>
    <w:unhideWhenUsed/>
    <w:tblPr>
      <w:tblInd w:w="0" w:type="dxa"/>
      <w:tblCellMar>
        <w:top w:w="0" w:type="dxa"/>
        <w:left w:w="108" w:type="dxa"/>
        <w:bottom w:w="0" w:type="dxa"/>
        <w:right w:w="108" w:type="dxa"/>
      </w:tblCellMar>
    </w:tblPr>
  </w:style>
  <w:style w:type="numbering" w:styleId="Nemlista" w:default="1">
    <w:name w:val="No List"/>
    <w:uiPriority w:val="99"/>
    <w:semiHidden/>
    <w:unhideWhenUsed/>
  </w:style>
  <w:style w:type="character" w:styleId="Cmsor1Char" w:customStyle="1">
    <w:name w:val="Címsor 1 Char"/>
    <w:basedOn w:val="Bekezdsalapbettpusa"/>
    <w:link w:val="Cmsor1"/>
    <w:rsid w:val="00544905"/>
    <w:rPr>
      <w:rFonts w:ascii="Arial" w:hAnsi="Arial" w:cs="Arial"/>
      <w:caps/>
      <w:color w:val="7F7F7F" w:themeColor="text1" w:themeTint="80"/>
      <w:sz w:val="28"/>
      <w:lang w:val="en-GB" w:eastAsia="nl-NL"/>
    </w:rPr>
  </w:style>
  <w:style w:type="character" w:styleId="Cmsor2Char" w:customStyle="1">
    <w:name w:val="Címsor 2 Char"/>
    <w:basedOn w:val="Bekezdsalapbettpusa"/>
    <w:link w:val="Cmsor2"/>
    <w:rsid w:val="00544905"/>
    <w:rPr>
      <w:rFonts w:ascii="Arial" w:hAnsi="Arial" w:cs="Arial"/>
      <w:color w:val="7F7F7F" w:themeColor="text1" w:themeTint="80"/>
      <w:sz w:val="28"/>
      <w:lang w:val="en-GB" w:eastAsia="nl-NL"/>
    </w:rPr>
  </w:style>
  <w:style w:type="character" w:styleId="Cmsor3Char" w:customStyle="1">
    <w:name w:val="Címsor 3 Char"/>
    <w:basedOn w:val="Bekezdsalapbettpusa"/>
    <w:link w:val="Cmsor3"/>
    <w:rsid w:val="00544905"/>
    <w:rPr>
      <w:rFonts w:ascii="Arial" w:hAnsi="Arial" w:cs="Arial"/>
      <w:color w:val="7F7F7F" w:themeColor="text1" w:themeTint="80"/>
      <w:lang w:val="en-GB" w:eastAsia="nl-NL"/>
    </w:rPr>
  </w:style>
  <w:style w:type="character" w:styleId="Cmsor4Char" w:customStyle="1">
    <w:name w:val="Címsor 4 Char"/>
    <w:basedOn w:val="Bekezdsalapbettpusa"/>
    <w:link w:val="Cmsor4"/>
    <w:rsid w:val="00544905"/>
    <w:rPr>
      <w:rFonts w:ascii="Arial" w:hAnsi="Arial" w:cs="Arial"/>
      <w:i/>
      <w:iCs/>
      <w:color w:val="7F7F7F" w:themeColor="text1" w:themeTint="80"/>
      <w:kern w:val="32"/>
      <w:sz w:val="20"/>
      <w:szCs w:val="28"/>
      <w:lang w:val="en-GB" w:eastAsia="nl-NL"/>
    </w:rPr>
  </w:style>
  <w:style w:type="character" w:styleId="Cmsor5Char" w:customStyle="1">
    <w:name w:val="Címsor 5 Char"/>
    <w:basedOn w:val="Bekezdsalapbettpusa"/>
    <w:link w:val="Cmsor5"/>
    <w:rsid w:val="006712D8"/>
    <w:rPr>
      <w:rFonts w:ascii="Arial" w:hAnsi="Arial" w:cs="Arial"/>
      <w:b/>
      <w:bCs/>
      <w:color w:val="7F7F7F" w:themeColor="text1" w:themeTint="80"/>
      <w:kern w:val="32"/>
      <w:sz w:val="20"/>
      <w:szCs w:val="26"/>
      <w:lang w:val="en-GB" w:eastAsia="nl-NL"/>
    </w:rPr>
  </w:style>
  <w:style w:type="character" w:styleId="Cmsor6Char" w:customStyle="1">
    <w:name w:val="Címsor 6 Char"/>
    <w:basedOn w:val="Bekezdsalapbettpusa"/>
    <w:link w:val="Cmsor6"/>
    <w:uiPriority w:val="9"/>
    <w:rsid w:val="00544905"/>
    <w:rPr>
      <w:rFonts w:ascii="Arial" w:hAnsi="Arial" w:eastAsiaTheme="majorEastAsia" w:cstheme="majorBidi"/>
      <w:i/>
      <w:iCs/>
      <w:sz w:val="20"/>
      <w:szCs w:val="20"/>
    </w:rPr>
  </w:style>
  <w:style w:type="character" w:styleId="Cmsor7Char" w:customStyle="1">
    <w:name w:val="Címsor 7 Char"/>
    <w:basedOn w:val="Bekezdsalapbettpusa"/>
    <w:link w:val="Cmsor7"/>
    <w:uiPriority w:val="9"/>
    <w:rsid w:val="00544905"/>
    <w:rPr>
      <w:rFonts w:asciiTheme="majorHAnsi" w:hAnsiTheme="majorHAnsi" w:eastAsiaTheme="majorEastAsia" w:cstheme="majorBidi"/>
      <w:i/>
      <w:iCs/>
      <w:color w:val="404040" w:themeColor="text1" w:themeTint="BF"/>
      <w:sz w:val="20"/>
      <w:szCs w:val="20"/>
    </w:rPr>
  </w:style>
  <w:style w:type="character" w:styleId="Cmsor8Char" w:customStyle="1">
    <w:name w:val="Címsor 8 Char"/>
    <w:basedOn w:val="Bekezdsalapbettpusa"/>
    <w:link w:val="Cmsor8"/>
    <w:uiPriority w:val="9"/>
    <w:semiHidden/>
    <w:rsid w:val="00544905"/>
    <w:rPr>
      <w:rFonts w:asciiTheme="majorHAnsi" w:hAnsiTheme="majorHAnsi" w:eastAsiaTheme="majorEastAsia" w:cstheme="majorBidi"/>
      <w:color w:val="404040" w:themeColor="text1" w:themeTint="BF"/>
      <w:sz w:val="20"/>
      <w:szCs w:val="20"/>
    </w:rPr>
  </w:style>
  <w:style w:type="character" w:styleId="Cmsor9Char" w:customStyle="1">
    <w:name w:val="Címsor 9 Char"/>
    <w:basedOn w:val="Bekezdsalapbettpusa"/>
    <w:link w:val="Cmsor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Felsorols"/>
    <w:link w:val="BulletPointChar"/>
    <w:autoRedefine/>
    <w:qFormat/>
    <w:rsid w:val="0035143F"/>
    <w:pPr>
      <w:numPr>
        <w:numId w:val="0"/>
      </w:numPr>
      <w:spacing w:after="200"/>
      <w:ind w:left="1080" w:hanging="360"/>
    </w:pPr>
    <w:rPr>
      <w:szCs w:val="22"/>
    </w:rPr>
  </w:style>
  <w:style w:type="paragraph" w:styleId="Felsorols">
    <w:name w:val="List Bullet"/>
    <w:basedOn w:val="Norml"/>
    <w:uiPriority w:val="99"/>
    <w:unhideWhenUsed/>
    <w:rsid w:val="00544905"/>
    <w:pPr>
      <w:numPr>
        <w:numId w:val="20"/>
      </w:numPr>
      <w:contextualSpacing/>
    </w:pPr>
  </w:style>
  <w:style w:type="character" w:styleId="BulletPointChar" w:customStyle="1">
    <w:name w:val="Bullet Point Char"/>
    <w:basedOn w:val="Bekezdsalapbettpusa"/>
    <w:link w:val="BulletPoint"/>
    <w:rsid w:val="0035143F"/>
    <w:rPr>
      <w:rFonts w:ascii="Arial" w:hAnsi="Arial" w:eastAsiaTheme="minorEastAsia"/>
      <w:sz w:val="20"/>
    </w:rPr>
  </w:style>
  <w:style w:type="paragraph" w:styleId="Kpalrs">
    <w:name w:val="caption"/>
    <w:basedOn w:val="Norml"/>
    <w:next w:val="Norml"/>
    <w:unhideWhenUsed/>
    <w:qFormat/>
    <w:rsid w:val="00544905"/>
    <w:pPr>
      <w:jc w:val="center"/>
    </w:pPr>
    <w:rPr>
      <w:bCs/>
      <w:i/>
      <w:color w:val="5F5F5F" w:themeColor="text2"/>
      <w:sz w:val="16"/>
    </w:rPr>
  </w:style>
  <w:style w:type="paragraph" w:styleId="Cm">
    <w:name w:val="Title"/>
    <w:basedOn w:val="Norml"/>
    <w:next w:val="Norml"/>
    <w:link w:val="CmChar"/>
    <w:autoRedefine/>
    <w:uiPriority w:val="10"/>
    <w:qFormat/>
    <w:rsid w:val="00712187"/>
    <w:pPr>
      <w:spacing w:before="2268" w:after="300"/>
      <w:contextualSpacing/>
      <w:jc w:val="center"/>
    </w:pPr>
    <w:rPr>
      <w:rFonts w:eastAsiaTheme="majorEastAsia" w:cstheme="majorBidi"/>
      <w:color w:val="0100FE"/>
      <w:spacing w:val="5"/>
      <w:kern w:val="28"/>
      <w:sz w:val="56"/>
      <w:szCs w:val="52"/>
      <w:lang w:val="en-GB"/>
    </w:rPr>
  </w:style>
  <w:style w:type="character" w:styleId="CmChar" w:customStyle="1">
    <w:name w:val="Cím Char"/>
    <w:basedOn w:val="Bekezdsalapbettpusa"/>
    <w:link w:val="Cm"/>
    <w:uiPriority w:val="10"/>
    <w:rsid w:val="00712187"/>
    <w:rPr>
      <w:rFonts w:ascii="Arial" w:hAnsi="Arial" w:eastAsiaTheme="majorEastAsia" w:cstheme="majorBidi"/>
      <w:color w:val="0100FE"/>
      <w:spacing w:val="5"/>
      <w:kern w:val="28"/>
      <w:sz w:val="56"/>
      <w:szCs w:val="52"/>
      <w:lang w:val="en-GB"/>
    </w:rPr>
  </w:style>
  <w:style w:type="paragraph" w:styleId="Listaszerbekezds">
    <w:name w:val="List Paragraph"/>
    <w:aliases w:val="F List Paragraph,Normal bold,N Heading 3,H3,Use Case List Paragraph,Ref,Equipment,EG Bullet 1,Bullet List Paragraph,List Paragraph1,Bullet Normal,List Paragraph11,List Paragraph111,FooterText,numbered,lp1,Listenabsatz1"/>
    <w:basedOn w:val="Norml"/>
    <w:link w:val="ListaszerbekezdsChar"/>
    <w:uiPriority w:val="34"/>
    <w:qFormat/>
    <w:rsid w:val="00544905"/>
    <w:pPr>
      <w:numPr>
        <w:numId w:val="23"/>
      </w:numPr>
      <w:contextualSpacing/>
    </w:pPr>
    <w:rPr>
      <w:rFonts w:cs="Arial"/>
      <w:bCs/>
      <w:szCs w:val="22"/>
      <w:lang w:val="en-GB"/>
    </w:rPr>
  </w:style>
  <w:style w:type="character" w:styleId="ListaszerbekezdsChar" w:customStyle="1">
    <w:name w:val="Listaszerű bekezdés Char"/>
    <w:aliases w:val="F List Paragraph Char,Normal bold Char,N Heading 3 Char,H3 Char,Use Case List Paragraph Char,Ref Char,Equipment Char,EG Bullet 1 Char,Bullet List Paragraph Char,List Paragraph1 Char,Bullet Normal Char,List Paragraph11 Char"/>
    <w:basedOn w:val="Bekezdsalapbettpusa"/>
    <w:link w:val="Listaszerbekezds"/>
    <w:uiPriority w:val="1"/>
    <w:qFormat/>
    <w:locked/>
    <w:rsid w:val="00544905"/>
    <w:rPr>
      <w:rFonts w:ascii="Arial" w:hAnsi="Arial" w:cs="Arial" w:eastAsiaTheme="minorEastAsia"/>
      <w:bCs/>
      <w:sz w:val="20"/>
      <w:lang w:val="en-GB"/>
    </w:rPr>
  </w:style>
  <w:style w:type="paragraph" w:styleId="Numbering" w:customStyle="1">
    <w:name w:val="Numbering"/>
    <w:basedOn w:val="Norm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Lbjegyzetszveg">
    <w:name w:val="footnote text"/>
    <w:basedOn w:val="Norml"/>
    <w:link w:val="LbjegyzetszvegChar"/>
    <w:autoRedefine/>
    <w:rsid w:val="00544905"/>
    <w:rPr>
      <w:lang w:val="en-GB"/>
    </w:rPr>
  </w:style>
  <w:style w:type="character" w:styleId="LbjegyzetszvegChar" w:customStyle="1">
    <w:name w:val="Lábjegyzetszöveg Char"/>
    <w:basedOn w:val="Bekezdsalapbettpusa"/>
    <w:link w:val="Lbjegyzetszveg"/>
    <w:rsid w:val="00544905"/>
    <w:rPr>
      <w:rFonts w:ascii="Arial" w:hAnsi="Arial" w:eastAsiaTheme="minorEastAsia"/>
      <w:sz w:val="20"/>
      <w:szCs w:val="20"/>
      <w:lang w:val="en-GB"/>
    </w:rPr>
  </w:style>
  <w:style w:type="paragraph" w:styleId="Alcm">
    <w:name w:val="Subtitle"/>
    <w:basedOn w:val="Norml"/>
    <w:next w:val="Norml"/>
    <w:link w:val="Alcm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AlcmChar" w:customStyle="1">
    <w:name w:val="Alcím Char"/>
    <w:basedOn w:val="Bekezdsalapbettpusa"/>
    <w:link w:val="Alcm"/>
    <w:uiPriority w:val="11"/>
    <w:rsid w:val="002B27D1"/>
    <w:rPr>
      <w:rFonts w:asciiTheme="majorHAnsi" w:hAnsiTheme="majorHAnsi" w:eastAsiaTheme="majorEastAsia" w:cstheme="majorBidi"/>
      <w:i/>
      <w:iCs/>
      <w:color w:val="3366FF"/>
      <w:spacing w:val="15"/>
      <w:sz w:val="24"/>
      <w:szCs w:val="20"/>
    </w:rPr>
  </w:style>
  <w:style w:type="paragraph" w:styleId="Idzet">
    <w:name w:val="Quote"/>
    <w:basedOn w:val="Norml"/>
    <w:next w:val="Norml"/>
    <w:link w:val="IdzetChar"/>
    <w:uiPriority w:val="29"/>
    <w:qFormat/>
    <w:rsid w:val="00544905"/>
    <w:pPr>
      <w:spacing w:after="200"/>
    </w:pPr>
    <w:rPr>
      <w:i/>
      <w:iCs/>
      <w:color w:val="000000" w:themeColor="text1"/>
      <w:szCs w:val="22"/>
      <w:lang w:eastAsia="ja-JP"/>
    </w:rPr>
  </w:style>
  <w:style w:type="character" w:styleId="IdzetChar" w:customStyle="1">
    <w:name w:val="Idézet Char"/>
    <w:basedOn w:val="Bekezdsalapbettpusa"/>
    <w:link w:val="Idzet"/>
    <w:uiPriority w:val="29"/>
    <w:rsid w:val="00544905"/>
    <w:rPr>
      <w:rFonts w:ascii="Arial" w:hAnsi="Arial" w:eastAsiaTheme="minorEastAsia"/>
      <w:i/>
      <w:iCs/>
      <w:color w:val="000000" w:themeColor="text1"/>
      <w:sz w:val="20"/>
      <w:lang w:eastAsia="ja-JP"/>
    </w:rPr>
  </w:style>
  <w:style w:type="character" w:styleId="Kiemels2">
    <w:name w:val="Strong"/>
    <w:basedOn w:val="Bekezdsalapbettpusa"/>
    <w:uiPriority w:val="22"/>
    <w:qFormat/>
    <w:rsid w:val="00544905"/>
    <w:rPr>
      <w:b/>
      <w:bCs/>
    </w:rPr>
  </w:style>
  <w:style w:type="character" w:styleId="Kiemels">
    <w:name w:val="Emphasis"/>
    <w:basedOn w:val="Bekezdsalapbettpusa"/>
    <w:uiPriority w:val="20"/>
    <w:qFormat/>
    <w:rsid w:val="00544905"/>
    <w:rPr>
      <w:i/>
      <w:iCs/>
    </w:rPr>
  </w:style>
  <w:style w:type="paragraph" w:styleId="Nincstrkz">
    <w:name w:val="No Spacing"/>
    <w:link w:val="NincstrkzChar"/>
    <w:uiPriority w:val="1"/>
    <w:qFormat/>
    <w:rsid w:val="00544905"/>
    <w:pPr>
      <w:spacing w:after="0" w:line="240" w:lineRule="auto"/>
      <w:jc w:val="both"/>
    </w:pPr>
    <w:rPr>
      <w:rFonts w:ascii="Arial" w:hAnsi="Arial"/>
      <w:szCs w:val="24"/>
      <w:lang w:eastAsia="en-GB"/>
    </w:rPr>
  </w:style>
  <w:style w:type="character" w:styleId="NincstrkzChar" w:customStyle="1">
    <w:name w:val="Nincs térköz Char"/>
    <w:basedOn w:val="Bekezdsalapbettpusa"/>
    <w:link w:val="Nincstrkz"/>
    <w:uiPriority w:val="1"/>
    <w:rsid w:val="00544905"/>
    <w:rPr>
      <w:rFonts w:ascii="Arial" w:hAnsi="Arial"/>
      <w:szCs w:val="24"/>
      <w:lang w:eastAsia="en-GB"/>
    </w:rPr>
  </w:style>
  <w:style w:type="character" w:styleId="Finomkiemels">
    <w:name w:val="Subtle Emphasis"/>
    <w:basedOn w:val="Bekezdsalapbettpusa"/>
    <w:uiPriority w:val="19"/>
    <w:qFormat/>
    <w:rsid w:val="00544905"/>
    <w:rPr>
      <w:i/>
      <w:iCs/>
      <w:color w:val="808080" w:themeColor="text1" w:themeTint="7F"/>
    </w:rPr>
  </w:style>
  <w:style w:type="character" w:styleId="Finomhivatkozs">
    <w:name w:val="Subtle Reference"/>
    <w:basedOn w:val="Bekezdsalapbettpusa"/>
    <w:uiPriority w:val="31"/>
    <w:qFormat/>
    <w:rsid w:val="00544905"/>
    <w:rPr>
      <w:smallCaps/>
      <w:color w:val="0078AA" w:themeColor="accent2"/>
      <w:u w:val="single"/>
    </w:rPr>
  </w:style>
  <w:style w:type="character" w:styleId="Ershivatkozs">
    <w:name w:val="Intense Reference"/>
    <w:basedOn w:val="Bekezdsalapbettpusa"/>
    <w:uiPriority w:val="32"/>
    <w:qFormat/>
    <w:rsid w:val="00544905"/>
    <w:rPr>
      <w:b/>
      <w:bCs/>
      <w:smallCaps/>
      <w:color w:val="0078AA" w:themeColor="accent2"/>
      <w:spacing w:val="5"/>
      <w:u w:val="single"/>
    </w:rPr>
  </w:style>
  <w:style w:type="character" w:styleId="Knyvcme">
    <w:name w:val="Book Title"/>
    <w:basedOn w:val="Bekezdsalapbettpusa"/>
    <w:uiPriority w:val="33"/>
    <w:qFormat/>
    <w:rsid w:val="00544905"/>
    <w:rPr>
      <w:b/>
      <w:bCs/>
      <w:smallCaps/>
      <w:spacing w:val="5"/>
    </w:rPr>
  </w:style>
  <w:style w:type="paragraph" w:styleId="lfej">
    <w:name w:val="header"/>
    <w:basedOn w:val="Norml"/>
    <w:link w:val="lfejChar"/>
    <w:uiPriority w:val="99"/>
    <w:unhideWhenUsed/>
    <w:qFormat/>
    <w:rsid w:val="00544905"/>
    <w:pPr>
      <w:tabs>
        <w:tab w:val="center" w:pos="4680"/>
      </w:tabs>
      <w:spacing w:line="240" w:lineRule="auto"/>
      <w:ind w:right="-58"/>
      <w:jc w:val="right"/>
    </w:pPr>
    <w:rPr>
      <w:color w:val="5F5F5F" w:themeColor="text2"/>
      <w:lang w:val="en-GB"/>
    </w:rPr>
  </w:style>
  <w:style w:type="character" w:styleId="lfejChar" w:customStyle="1">
    <w:name w:val="Élőfej Char"/>
    <w:basedOn w:val="Bekezdsalapbettpusa"/>
    <w:link w:val="lfej"/>
    <w:uiPriority w:val="99"/>
    <w:rsid w:val="00544905"/>
    <w:rPr>
      <w:rFonts w:ascii="Arial" w:hAnsi="Arial" w:eastAsiaTheme="minorEastAsia"/>
      <w:color w:val="5F5F5F" w:themeColor="text2"/>
      <w:sz w:val="20"/>
      <w:szCs w:val="20"/>
      <w:lang w:val="en-GB"/>
    </w:rPr>
  </w:style>
  <w:style w:type="paragraph" w:styleId="llb">
    <w:name w:val="footer"/>
    <w:basedOn w:val="Norml"/>
    <w:link w:val="llbChar"/>
    <w:uiPriority w:val="99"/>
    <w:unhideWhenUsed/>
    <w:qFormat/>
    <w:rsid w:val="00544905"/>
    <w:pPr>
      <w:tabs>
        <w:tab w:val="center" w:pos="4680"/>
      </w:tabs>
      <w:spacing w:line="240" w:lineRule="auto"/>
      <w:ind w:right="-58"/>
      <w:jc w:val="right"/>
    </w:pPr>
    <w:rPr>
      <w:color w:val="5F5F5F" w:themeColor="text2"/>
      <w:lang w:val="en-GB"/>
    </w:rPr>
  </w:style>
  <w:style w:type="character" w:styleId="llbChar" w:customStyle="1">
    <w:name w:val="Élőláb Char"/>
    <w:basedOn w:val="Bekezdsalapbettpusa"/>
    <w:link w:val="llb"/>
    <w:uiPriority w:val="99"/>
    <w:rsid w:val="00544905"/>
    <w:rPr>
      <w:rFonts w:ascii="Arial" w:hAnsi="Arial" w:eastAsiaTheme="minorEastAsia"/>
      <w:color w:val="5F5F5F" w:themeColor="text2"/>
      <w:sz w:val="20"/>
      <w:szCs w:val="20"/>
      <w:lang w:val="en-GB"/>
    </w:rPr>
  </w:style>
  <w:style w:type="paragraph" w:styleId="TJ1">
    <w:name w:val="toc 1"/>
    <w:basedOn w:val="Norml"/>
    <w:next w:val="Norml"/>
    <w:autoRedefine/>
    <w:uiPriority w:val="39"/>
    <w:unhideWhenUsed/>
    <w:rsid w:val="00544905"/>
    <w:pPr>
      <w:spacing w:before="120"/>
      <w:jc w:val="left"/>
    </w:pPr>
    <w:rPr>
      <w:rFonts w:asciiTheme="minorHAnsi" w:hAnsiTheme="minorHAnsi" w:cstheme="minorHAnsi"/>
      <w:b/>
      <w:bCs/>
      <w:i/>
      <w:iCs/>
      <w:sz w:val="24"/>
      <w:szCs w:val="24"/>
    </w:rPr>
  </w:style>
  <w:style w:type="paragraph" w:styleId="TJ2">
    <w:name w:val="toc 2"/>
    <w:basedOn w:val="Norml"/>
    <w:next w:val="Norml"/>
    <w:autoRedefine/>
    <w:uiPriority w:val="39"/>
    <w:unhideWhenUsed/>
    <w:rsid w:val="00544905"/>
    <w:pPr>
      <w:spacing w:before="120"/>
      <w:ind w:left="200"/>
      <w:jc w:val="left"/>
    </w:pPr>
    <w:rPr>
      <w:rFonts w:asciiTheme="minorHAnsi" w:hAnsiTheme="minorHAnsi" w:cstheme="minorHAnsi"/>
      <w:b/>
      <w:bCs/>
      <w:sz w:val="22"/>
      <w:szCs w:val="22"/>
    </w:rPr>
  </w:style>
  <w:style w:type="character" w:styleId="Hiperhivatkozs">
    <w:name w:val="Hyperlink"/>
    <w:basedOn w:val="Bekezdsalapbettpusa"/>
    <w:uiPriority w:val="99"/>
    <w:unhideWhenUsed/>
    <w:rsid w:val="00544905"/>
    <w:rPr>
      <w:color w:val="3F3F3F" w:themeColor="hyperlink"/>
      <w:u w:val="single"/>
    </w:rPr>
  </w:style>
  <w:style w:type="paragraph" w:styleId="Buborkszveg">
    <w:name w:val="Balloon Text"/>
    <w:basedOn w:val="Norml"/>
    <w:link w:val="BuborkszvegChar"/>
    <w:uiPriority w:val="99"/>
    <w:semiHidden/>
    <w:unhideWhenUsed/>
    <w:rsid w:val="00544905"/>
    <w:pPr>
      <w:spacing w:line="240" w:lineRule="auto"/>
    </w:pPr>
    <w:rPr>
      <w:rFonts w:ascii="Tahoma" w:hAnsi="Tahoma" w:cs="Tahoma"/>
      <w:sz w:val="16"/>
      <w:szCs w:val="16"/>
    </w:rPr>
  </w:style>
  <w:style w:type="character" w:styleId="BuborkszvegChar" w:customStyle="1">
    <w:name w:val="Buborékszöveg Char"/>
    <w:basedOn w:val="Bekezdsalapbettpusa"/>
    <w:link w:val="Buborkszveg"/>
    <w:uiPriority w:val="99"/>
    <w:semiHidden/>
    <w:rsid w:val="00544905"/>
    <w:rPr>
      <w:rFonts w:ascii="Tahoma" w:hAnsi="Tahoma" w:cs="Tahoma" w:eastAsiaTheme="minorEastAsia"/>
      <w:sz w:val="16"/>
      <w:szCs w:val="16"/>
    </w:rPr>
  </w:style>
  <w:style w:type="table" w:styleId="Rcsostblzat">
    <w:name w:val="Table Grid"/>
    <w:basedOn w:val="Normltblzat"/>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Jegyzethivatkozs">
    <w:name w:val="annotation reference"/>
    <w:basedOn w:val="Bekezdsalapbettpusa"/>
    <w:uiPriority w:val="99"/>
    <w:semiHidden/>
    <w:unhideWhenUsed/>
    <w:rsid w:val="00544905"/>
    <w:rPr>
      <w:sz w:val="16"/>
      <w:szCs w:val="16"/>
    </w:rPr>
  </w:style>
  <w:style w:type="paragraph" w:styleId="Jegyzetszveg">
    <w:name w:val="annotation text"/>
    <w:basedOn w:val="Norml"/>
    <w:link w:val="JegyzetszvegChar"/>
    <w:uiPriority w:val="99"/>
    <w:unhideWhenUsed/>
    <w:rsid w:val="00544905"/>
    <w:pPr>
      <w:spacing w:line="240" w:lineRule="auto"/>
    </w:pPr>
  </w:style>
  <w:style w:type="character" w:styleId="JegyzetszvegChar" w:customStyle="1">
    <w:name w:val="Jegyzetszöveg Char"/>
    <w:basedOn w:val="Bekezdsalapbettpusa"/>
    <w:link w:val="Jegyzetszveg"/>
    <w:uiPriority w:val="99"/>
    <w:rsid w:val="00544905"/>
    <w:rPr>
      <w:rFonts w:ascii="Arial" w:hAnsi="Arial" w:eastAsiaTheme="minorEastAsia"/>
      <w:sz w:val="20"/>
      <w:szCs w:val="20"/>
    </w:rPr>
  </w:style>
  <w:style w:type="paragraph" w:styleId="Megjegyzstrgya">
    <w:name w:val="annotation subject"/>
    <w:basedOn w:val="Jegyzetszveg"/>
    <w:next w:val="Jegyzetszveg"/>
    <w:link w:val="MegjegyzstrgyaChar"/>
    <w:uiPriority w:val="99"/>
    <w:semiHidden/>
    <w:unhideWhenUsed/>
    <w:rsid w:val="00544905"/>
    <w:rPr>
      <w:b/>
      <w:bCs/>
    </w:rPr>
  </w:style>
  <w:style w:type="character" w:styleId="MegjegyzstrgyaChar" w:customStyle="1">
    <w:name w:val="Megjegyzés tárgya Char"/>
    <w:basedOn w:val="JegyzetszvegChar"/>
    <w:link w:val="Megjegyzstrgya"/>
    <w:uiPriority w:val="99"/>
    <w:semiHidden/>
    <w:rsid w:val="00544905"/>
    <w:rPr>
      <w:rFonts w:ascii="Arial" w:hAnsi="Arial" w:eastAsiaTheme="minorEastAsia"/>
      <w:b/>
      <w:bCs/>
      <w:sz w:val="20"/>
      <w:szCs w:val="20"/>
    </w:rPr>
  </w:style>
  <w:style w:type="paragraph" w:styleId="TJ3">
    <w:name w:val="toc 3"/>
    <w:basedOn w:val="Norml"/>
    <w:next w:val="Norml"/>
    <w:autoRedefine/>
    <w:uiPriority w:val="39"/>
    <w:unhideWhenUsed/>
    <w:rsid w:val="00FD7638"/>
    <w:pPr>
      <w:ind w:left="400"/>
      <w:jc w:val="left"/>
    </w:pPr>
    <w:rPr>
      <w:rFonts w:asciiTheme="minorHAnsi" w:hAnsiTheme="minorHAnsi" w:cstheme="minorHAnsi"/>
    </w:rPr>
  </w:style>
  <w:style w:type="paragraph" w:styleId="Vltozat">
    <w:name w:val="Revision"/>
    <w:hidden/>
    <w:uiPriority w:val="99"/>
    <w:semiHidden/>
    <w:rsid w:val="0087361D"/>
    <w:pPr>
      <w:spacing w:after="0" w:line="240" w:lineRule="auto"/>
    </w:pPr>
    <w:rPr>
      <w:rFonts w:eastAsiaTheme="minorEastAsia"/>
      <w:sz w:val="20"/>
      <w:szCs w:val="20"/>
    </w:rPr>
  </w:style>
  <w:style w:type="character" w:styleId="Oldalszm">
    <w:name w:val="page number"/>
    <w:basedOn w:val="Bekezdsalapbettpusa"/>
    <w:uiPriority w:val="99"/>
    <w:semiHidden/>
    <w:unhideWhenUsed/>
    <w:rsid w:val="00544905"/>
  </w:style>
  <w:style w:type="paragraph" w:styleId="Dokumentumtrkp">
    <w:name w:val="Document Map"/>
    <w:basedOn w:val="Norml"/>
    <w:link w:val="DokumentumtrkpChar"/>
    <w:uiPriority w:val="99"/>
    <w:semiHidden/>
    <w:unhideWhenUsed/>
    <w:rsid w:val="00544905"/>
    <w:pPr>
      <w:spacing w:line="240" w:lineRule="auto"/>
    </w:pPr>
    <w:rPr>
      <w:rFonts w:ascii="Times New Roman" w:hAnsi="Times New Roman" w:cs="Times New Roman"/>
      <w:sz w:val="24"/>
      <w:szCs w:val="24"/>
    </w:rPr>
  </w:style>
  <w:style w:type="character" w:styleId="DokumentumtrkpChar" w:customStyle="1">
    <w:name w:val="Dokumentumtérkép Char"/>
    <w:basedOn w:val="Bekezdsalapbettpusa"/>
    <w:link w:val="Dokumentumtrkp"/>
    <w:uiPriority w:val="99"/>
    <w:semiHidden/>
    <w:rsid w:val="00544905"/>
    <w:rPr>
      <w:rFonts w:ascii="Times New Roman" w:hAnsi="Times New Roman" w:cs="Times New Roman" w:eastAsiaTheme="minorEastAsia"/>
      <w:sz w:val="24"/>
      <w:szCs w:val="24"/>
    </w:rPr>
  </w:style>
  <w:style w:type="paragraph" w:styleId="TJ4">
    <w:name w:val="toc 4"/>
    <w:basedOn w:val="Norml"/>
    <w:next w:val="Norml"/>
    <w:autoRedefine/>
    <w:uiPriority w:val="39"/>
    <w:unhideWhenUsed/>
    <w:rsid w:val="00544905"/>
    <w:pPr>
      <w:ind w:left="600"/>
      <w:jc w:val="left"/>
    </w:pPr>
    <w:rPr>
      <w:rFonts w:asciiTheme="minorHAnsi" w:hAnsiTheme="minorHAnsi" w:cstheme="minorHAnsi"/>
    </w:rPr>
  </w:style>
  <w:style w:type="paragraph" w:styleId="TJ5">
    <w:name w:val="toc 5"/>
    <w:basedOn w:val="Norml"/>
    <w:next w:val="Norml"/>
    <w:autoRedefine/>
    <w:uiPriority w:val="39"/>
    <w:unhideWhenUsed/>
    <w:rsid w:val="00544905"/>
    <w:pPr>
      <w:ind w:left="800"/>
      <w:jc w:val="left"/>
    </w:pPr>
    <w:rPr>
      <w:rFonts w:asciiTheme="minorHAnsi" w:hAnsiTheme="minorHAnsi" w:cstheme="minorHAnsi"/>
    </w:rPr>
  </w:style>
  <w:style w:type="paragraph" w:styleId="TJ6">
    <w:name w:val="toc 6"/>
    <w:basedOn w:val="Norml"/>
    <w:next w:val="Norml"/>
    <w:autoRedefine/>
    <w:uiPriority w:val="39"/>
    <w:unhideWhenUsed/>
    <w:rsid w:val="00544905"/>
    <w:pPr>
      <w:ind w:left="1000"/>
      <w:jc w:val="left"/>
    </w:pPr>
    <w:rPr>
      <w:rFonts w:asciiTheme="minorHAnsi" w:hAnsiTheme="minorHAnsi" w:cstheme="minorHAnsi"/>
    </w:rPr>
  </w:style>
  <w:style w:type="paragraph" w:styleId="TJ7">
    <w:name w:val="toc 7"/>
    <w:basedOn w:val="Norml"/>
    <w:next w:val="Norml"/>
    <w:autoRedefine/>
    <w:uiPriority w:val="39"/>
    <w:unhideWhenUsed/>
    <w:rsid w:val="00544905"/>
    <w:pPr>
      <w:ind w:left="1200"/>
      <w:jc w:val="left"/>
    </w:pPr>
    <w:rPr>
      <w:rFonts w:asciiTheme="minorHAnsi" w:hAnsiTheme="minorHAnsi" w:cstheme="minorHAnsi"/>
    </w:rPr>
  </w:style>
  <w:style w:type="paragraph" w:styleId="TJ8">
    <w:name w:val="toc 8"/>
    <w:basedOn w:val="Norml"/>
    <w:next w:val="Norml"/>
    <w:autoRedefine/>
    <w:uiPriority w:val="39"/>
    <w:unhideWhenUsed/>
    <w:rsid w:val="00544905"/>
    <w:pPr>
      <w:ind w:left="1400"/>
      <w:jc w:val="left"/>
    </w:pPr>
    <w:rPr>
      <w:rFonts w:asciiTheme="minorHAnsi" w:hAnsiTheme="minorHAnsi" w:cstheme="minorHAnsi"/>
    </w:rPr>
  </w:style>
  <w:style w:type="paragraph" w:styleId="TJ9">
    <w:name w:val="toc 9"/>
    <w:basedOn w:val="Norml"/>
    <w:next w:val="Norml"/>
    <w:autoRedefine/>
    <w:uiPriority w:val="39"/>
    <w:unhideWhenUsed/>
    <w:rsid w:val="00544905"/>
    <w:pPr>
      <w:ind w:left="1600"/>
      <w:jc w:val="left"/>
    </w:pPr>
    <w:rPr>
      <w:rFonts w:asciiTheme="minorHAnsi" w:hAnsiTheme="minorHAnsi" w:cstheme="minorHAnsi"/>
    </w:rPr>
  </w:style>
  <w:style w:type="character" w:styleId="Mrltotthiperhivatkozs">
    <w:name w:val="FollowedHyperlink"/>
    <w:basedOn w:val="Bekezdsalapbettpusa"/>
    <w:uiPriority w:val="99"/>
    <w:semiHidden/>
    <w:unhideWhenUsed/>
    <w:rsid w:val="00544905"/>
    <w:rPr>
      <w:color w:val="A5A5A5" w:themeColor="followedHyperlink"/>
      <w:u w:val="single"/>
    </w:rPr>
  </w:style>
  <w:style w:type="paragraph" w:styleId="NormlWeb">
    <w:name w:val="Normal (Web)"/>
    <w:basedOn w:val="Norm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Normltblzat"/>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Bekezdsalapbettpusa"/>
    <w:uiPriority w:val="99"/>
    <w:semiHidden/>
    <w:unhideWhenUsed/>
    <w:rsid w:val="00B917C5"/>
    <w:rPr>
      <w:color w:val="808080"/>
      <w:shd w:val="clear" w:color="auto" w:fill="E6E6E6"/>
    </w:rPr>
  </w:style>
  <w:style w:type="table" w:styleId="GridTable41" w:customStyle="1">
    <w:name w:val="Grid Table 41"/>
    <w:basedOn w:val="Normltblzat"/>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Bekezdsalapbettpusa"/>
    <w:uiPriority w:val="99"/>
    <w:rsid w:val="00544905"/>
    <w:rPr>
      <w:rFonts w:cs="Times New Roman"/>
    </w:rPr>
  </w:style>
  <w:style w:type="paragraph" w:styleId="BalloonText1" w:customStyle="1">
    <w:name w:val="Balloon Text1"/>
    <w:basedOn w:val="Norml"/>
    <w:uiPriority w:val="99"/>
    <w:semiHidden/>
    <w:rsid w:val="00544905"/>
    <w:rPr>
      <w:rFonts w:ascii="Tahoma" w:hAnsi="Tahoma" w:cs="Tahoma"/>
      <w:sz w:val="16"/>
      <w:szCs w:val="16"/>
    </w:rPr>
  </w:style>
  <w:style w:type="paragraph" w:styleId="BalloonText2" w:customStyle="1">
    <w:name w:val="Balloon Text2"/>
    <w:basedOn w:val="Norml"/>
    <w:uiPriority w:val="99"/>
    <w:semiHidden/>
    <w:rsid w:val="00544905"/>
    <w:rPr>
      <w:rFonts w:ascii="Tahoma" w:hAnsi="Tahoma" w:cs="Tahoma"/>
      <w:sz w:val="16"/>
      <w:szCs w:val="16"/>
    </w:rPr>
  </w:style>
  <w:style w:type="paragraph" w:styleId="BalloonText3" w:customStyle="1">
    <w:name w:val="Balloon Text3"/>
    <w:basedOn w:val="Norml"/>
    <w:uiPriority w:val="99"/>
    <w:semiHidden/>
    <w:rsid w:val="00544905"/>
    <w:rPr>
      <w:rFonts w:ascii="Tahoma" w:hAnsi="Tahoma" w:cs="Tahoma"/>
      <w:sz w:val="16"/>
      <w:szCs w:val="16"/>
    </w:rPr>
  </w:style>
  <w:style w:type="paragraph" w:styleId="Szvegblokk">
    <w:name w:val="Block Text"/>
    <w:basedOn w:val="Norml"/>
    <w:uiPriority w:val="99"/>
    <w:rsid w:val="00544905"/>
    <w:pPr>
      <w:ind w:left="266" w:right="425"/>
    </w:pPr>
    <w:rPr>
      <w:i/>
      <w:iCs/>
      <w:color w:val="000000"/>
      <w:lang w:val="en-GB"/>
    </w:rPr>
  </w:style>
  <w:style w:type="paragraph" w:styleId="Szvegtrzs">
    <w:name w:val="Body Text"/>
    <w:basedOn w:val="Norml"/>
    <w:link w:val="SzvegtrzsChar"/>
    <w:uiPriority w:val="99"/>
    <w:rsid w:val="00544905"/>
  </w:style>
  <w:style w:type="character" w:styleId="SzvegtrzsChar" w:customStyle="1">
    <w:name w:val="Szövegtörzs Char"/>
    <w:basedOn w:val="Bekezdsalapbettpusa"/>
    <w:link w:val="Szvegtrzs"/>
    <w:uiPriority w:val="99"/>
    <w:rsid w:val="00544905"/>
    <w:rPr>
      <w:rFonts w:ascii="Arial" w:hAnsi="Arial" w:eastAsiaTheme="minorEastAsia"/>
      <w:sz w:val="20"/>
      <w:szCs w:val="20"/>
    </w:rPr>
  </w:style>
  <w:style w:type="paragraph" w:styleId="Szvegtrzs2">
    <w:name w:val="Body Text 2"/>
    <w:basedOn w:val="Norml"/>
    <w:link w:val="Szvegtrzs2Char"/>
    <w:uiPriority w:val="99"/>
    <w:rsid w:val="00544905"/>
  </w:style>
  <w:style w:type="character" w:styleId="Szvegtrzs2Char" w:customStyle="1">
    <w:name w:val="Szövegtörzs 2 Char"/>
    <w:basedOn w:val="Bekezdsalapbettpusa"/>
    <w:link w:val="Szvegtrzs2"/>
    <w:uiPriority w:val="99"/>
    <w:rsid w:val="00544905"/>
    <w:rPr>
      <w:rFonts w:ascii="Arial" w:hAnsi="Arial" w:eastAsiaTheme="minorEastAsia"/>
      <w:sz w:val="20"/>
      <w:szCs w:val="20"/>
    </w:rPr>
  </w:style>
  <w:style w:type="paragraph" w:styleId="Szvegtrzs3">
    <w:name w:val="Body Text 3"/>
    <w:basedOn w:val="Norml"/>
    <w:link w:val="Szvegtrzs3Char"/>
    <w:uiPriority w:val="99"/>
    <w:rsid w:val="00544905"/>
    <w:pPr>
      <w:jc w:val="center"/>
    </w:pPr>
    <w:rPr>
      <w:sz w:val="16"/>
      <w:szCs w:val="16"/>
    </w:rPr>
  </w:style>
  <w:style w:type="character" w:styleId="Szvegtrzs3Char" w:customStyle="1">
    <w:name w:val="Szövegtörzs 3 Char"/>
    <w:basedOn w:val="Bekezdsalapbettpusa"/>
    <w:link w:val="Szvegtrzs3"/>
    <w:uiPriority w:val="99"/>
    <w:rsid w:val="00544905"/>
    <w:rPr>
      <w:rFonts w:ascii="Arial" w:hAnsi="Arial" w:eastAsiaTheme="minorEastAsia"/>
      <w:sz w:val="16"/>
      <w:szCs w:val="16"/>
    </w:rPr>
  </w:style>
  <w:style w:type="paragraph" w:styleId="Szvegtrzsbehzssal">
    <w:name w:val="Body Text Indent"/>
    <w:basedOn w:val="Norml"/>
    <w:link w:val="SzvegtrzsbehzssalChar"/>
    <w:uiPriority w:val="99"/>
    <w:rsid w:val="00544905"/>
    <w:pPr>
      <w:spacing w:before="120"/>
      <w:ind w:left="1440"/>
      <w:outlineLvl w:val="0"/>
    </w:pPr>
  </w:style>
  <w:style w:type="character" w:styleId="SzvegtrzsbehzssalChar" w:customStyle="1">
    <w:name w:val="Szövegtörzs behúzással Char"/>
    <w:basedOn w:val="Bekezdsalapbettpusa"/>
    <w:link w:val="Szvegtrzsbehzssal"/>
    <w:uiPriority w:val="99"/>
    <w:rsid w:val="00544905"/>
    <w:rPr>
      <w:rFonts w:ascii="Arial" w:hAnsi="Arial" w:eastAsiaTheme="minorEastAsia"/>
      <w:sz w:val="20"/>
      <w:szCs w:val="20"/>
    </w:rPr>
  </w:style>
  <w:style w:type="paragraph" w:styleId="Szvegtrzsbehzssal2">
    <w:name w:val="Body Text Indent 2"/>
    <w:basedOn w:val="Norml"/>
    <w:link w:val="Szvegtrzsbehzssal2Char"/>
    <w:uiPriority w:val="99"/>
    <w:rsid w:val="00544905"/>
    <w:pPr>
      <w:spacing w:before="120"/>
      <w:ind w:left="1440"/>
      <w:outlineLvl w:val="0"/>
    </w:pPr>
  </w:style>
  <w:style w:type="character" w:styleId="Szvegtrzsbehzssal2Char" w:customStyle="1">
    <w:name w:val="Szövegtörzs behúzással 2 Char"/>
    <w:basedOn w:val="Bekezdsalapbettpusa"/>
    <w:link w:val="Szvegtrzsbehzssal2"/>
    <w:uiPriority w:val="99"/>
    <w:rsid w:val="00544905"/>
    <w:rPr>
      <w:rFonts w:ascii="Arial" w:hAnsi="Arial" w:eastAsiaTheme="minorEastAsia"/>
      <w:sz w:val="20"/>
      <w:szCs w:val="20"/>
    </w:rPr>
  </w:style>
  <w:style w:type="paragraph" w:styleId="Szvegtrzsbehzssal3">
    <w:name w:val="Body Text Indent 3"/>
    <w:basedOn w:val="Norml"/>
    <w:link w:val="Szvegtrzsbehzssal3Char"/>
    <w:uiPriority w:val="99"/>
    <w:rsid w:val="00544905"/>
    <w:pPr>
      <w:spacing w:before="120"/>
      <w:ind w:left="1440"/>
      <w:outlineLvl w:val="0"/>
    </w:pPr>
    <w:rPr>
      <w:sz w:val="16"/>
      <w:szCs w:val="16"/>
    </w:rPr>
  </w:style>
  <w:style w:type="character" w:styleId="Szvegtrzsbehzssal3Char" w:customStyle="1">
    <w:name w:val="Szövegtörzs behúzással 3 Char"/>
    <w:basedOn w:val="Bekezdsalapbettpusa"/>
    <w:link w:val="Szvegtrzsbehzssal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Jegyzetszveg"/>
    <w:next w:val="Jegyzetszveg"/>
    <w:uiPriority w:val="99"/>
    <w:semiHidden/>
    <w:rsid w:val="00544905"/>
    <w:rPr>
      <w:b/>
      <w:bCs/>
    </w:rPr>
  </w:style>
  <w:style w:type="paragraph" w:styleId="CommentSubject2" w:customStyle="1">
    <w:name w:val="Comment Subject2"/>
    <w:basedOn w:val="Jegyzetszveg"/>
    <w:next w:val="Jegyzetszveg"/>
    <w:uiPriority w:val="99"/>
    <w:semiHidden/>
    <w:rsid w:val="00544905"/>
    <w:rPr>
      <w:b/>
      <w:bCs/>
    </w:rPr>
  </w:style>
  <w:style w:type="paragraph" w:styleId="CommentSubject3" w:customStyle="1">
    <w:name w:val="Comment Subject3"/>
    <w:basedOn w:val="Jegyzetszveg"/>
    <w:next w:val="Jegyzetszveg"/>
    <w:uiPriority w:val="99"/>
    <w:semiHidden/>
    <w:rsid w:val="00544905"/>
    <w:rPr>
      <w:b/>
      <w:bCs/>
    </w:rPr>
  </w:style>
  <w:style w:type="paragraph" w:styleId="CommentSubject4" w:customStyle="1">
    <w:name w:val="Comment Subject4"/>
    <w:basedOn w:val="Jegyzetszveg"/>
    <w:next w:val="Jegyzetszveg"/>
    <w:uiPriority w:val="99"/>
    <w:semiHidden/>
    <w:rsid w:val="00544905"/>
    <w:rPr>
      <w:b/>
      <w:bCs/>
    </w:rPr>
  </w:style>
  <w:style w:type="paragraph" w:styleId="CommentSubject5" w:customStyle="1">
    <w:name w:val="Comment Subject5"/>
    <w:basedOn w:val="Jegyzetszveg"/>
    <w:next w:val="Jegyzetszveg"/>
    <w:uiPriority w:val="99"/>
    <w:semiHidden/>
    <w:rsid w:val="00544905"/>
    <w:rPr>
      <w:b/>
      <w:bCs/>
    </w:rPr>
  </w:style>
  <w:style w:type="paragraph" w:styleId="Dtum">
    <w:name w:val="Date"/>
    <w:basedOn w:val="Norml"/>
    <w:next w:val="Norml"/>
    <w:link w:val="DtumChar"/>
    <w:uiPriority w:val="99"/>
    <w:unhideWhenUsed/>
    <w:rsid w:val="00544905"/>
  </w:style>
  <w:style w:type="character" w:styleId="DtumChar" w:customStyle="1">
    <w:name w:val="Dátum Char"/>
    <w:basedOn w:val="Bekezdsalapbettpusa"/>
    <w:link w:val="Dtum"/>
    <w:uiPriority w:val="99"/>
    <w:rsid w:val="00544905"/>
    <w:rPr>
      <w:rFonts w:ascii="Arial" w:hAnsi="Arial" w:eastAsiaTheme="minorEastAsia"/>
      <w:sz w:val="20"/>
      <w:szCs w:val="20"/>
    </w:rPr>
  </w:style>
  <w:style w:type="table" w:styleId="TableauGrille41" w:customStyle="1">
    <w:name w:val="Tableau Grille 41"/>
    <w:basedOn w:val="Normltblzat"/>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l"/>
    <w:link w:val="HelleListe-Akzent51Char"/>
    <w:uiPriority w:val="34"/>
    <w:qFormat/>
    <w:rsid w:val="00544905"/>
    <w:pPr>
      <w:numPr>
        <w:numId w:val="22"/>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Jegyzetszveg"/>
    <w:next w:val="Jegyzetszveg"/>
    <w:uiPriority w:val="99"/>
    <w:semiHidden/>
    <w:rsid w:val="00544905"/>
    <w:rPr>
      <w:b/>
      <w:bCs/>
    </w:rPr>
  </w:style>
  <w:style w:type="table" w:styleId="TableauListe1Clair1" w:customStyle="1">
    <w:name w:val="Tableau Liste 1 Clair1"/>
    <w:basedOn w:val="Normltblzat"/>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l"/>
    <w:uiPriority w:val="99"/>
    <w:rsid w:val="00544905"/>
    <w:pPr>
      <w:ind w:left="720"/>
    </w:pPr>
    <w:rPr>
      <w:rFonts w:ascii="Trebuchet MS" w:hAnsi="Trebuchet MS"/>
    </w:rPr>
  </w:style>
  <w:style w:type="paragraph" w:styleId="Sprechblasentext1" w:customStyle="1">
    <w:name w:val="Sprechblasentext1"/>
    <w:basedOn w:val="Norml"/>
    <w:uiPriority w:val="99"/>
    <w:semiHidden/>
    <w:rsid w:val="00544905"/>
    <w:rPr>
      <w:rFonts w:ascii="Tahoma" w:hAnsi="Tahoma" w:cs="Tahoma"/>
      <w:sz w:val="16"/>
      <w:szCs w:val="16"/>
    </w:rPr>
  </w:style>
  <w:style w:type="paragraph" w:styleId="Sprechblasentext2" w:customStyle="1">
    <w:name w:val="Sprechblasentext2"/>
    <w:basedOn w:val="Norml"/>
    <w:uiPriority w:val="99"/>
    <w:semiHidden/>
    <w:rsid w:val="00544905"/>
    <w:rPr>
      <w:rFonts w:ascii="Tahoma" w:hAnsi="Tahoma" w:cs="Tahoma"/>
      <w:sz w:val="16"/>
      <w:szCs w:val="16"/>
    </w:rPr>
  </w:style>
  <w:style w:type="table" w:styleId="TableGridLight1" w:customStyle="1">
    <w:name w:val="Table Grid Light1"/>
    <w:basedOn w:val="Normltblzat"/>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l"/>
    <w:uiPriority w:val="99"/>
    <w:semiHidden/>
    <w:rsid w:val="00544905"/>
    <w:rPr>
      <w:rFonts w:ascii="Tahoma" w:hAnsi="Tahoma" w:cs="Tahoma"/>
      <w:sz w:val="16"/>
      <w:szCs w:val="16"/>
    </w:rPr>
  </w:style>
  <w:style w:type="paragraph" w:styleId="Textedebulles2" w:customStyle="1">
    <w:name w:val="Texte de bulles2"/>
    <w:basedOn w:val="Norml"/>
    <w:uiPriority w:val="99"/>
    <w:semiHidden/>
    <w:rsid w:val="00544905"/>
    <w:rPr>
      <w:rFonts w:ascii="Tahoma" w:hAnsi="Tahoma" w:cs="Tahoma"/>
      <w:sz w:val="16"/>
      <w:szCs w:val="16"/>
    </w:rPr>
  </w:style>
  <w:style w:type="character" w:styleId="UnresolvedMention2" w:customStyle="1">
    <w:name w:val="Unresolved Mention2"/>
    <w:basedOn w:val="Bekezdsalapbettpusa"/>
    <w:uiPriority w:val="99"/>
    <w:semiHidden/>
    <w:unhideWhenUsed/>
    <w:rsid w:val="00544905"/>
    <w:rPr>
      <w:color w:val="808080"/>
      <w:shd w:val="clear" w:color="auto" w:fill="E6E6E6"/>
    </w:rPr>
  </w:style>
  <w:style w:type="table" w:styleId="TableauListe7Couleur1" w:customStyle="1">
    <w:name w:val="Tableau Liste 7 Couleur1"/>
    <w:basedOn w:val="Normltblzat"/>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l"/>
    <w:rsid w:val="00167F46"/>
    <w:pPr>
      <w:spacing w:before="60" w:after="240"/>
    </w:pPr>
    <w:rPr>
      <w:rFonts w:ascii="Verdana" w:hAnsi="Verdana" w:eastAsia="Times New Roman" w:cs="Calibri"/>
      <w:b/>
      <w:bCs/>
      <w:color w:val="57585A"/>
      <w:sz w:val="22"/>
      <w:lang w:val="en-GB"/>
    </w:rPr>
  </w:style>
  <w:style w:type="character" w:styleId="Lbjegyzet-hivatkozs">
    <w:name w:val="footnote reference"/>
    <w:basedOn w:val="Bekezdsalapbettpusa"/>
    <w:uiPriority w:val="99"/>
    <w:semiHidden/>
    <w:unhideWhenUsed/>
    <w:rsid w:val="00A803A7"/>
    <w:rPr>
      <w:vertAlign w:val="superscript"/>
    </w:rPr>
  </w:style>
  <w:style w:type="paragraph" w:styleId="Tartalomjegyzkcmsora">
    <w:name w:val="TOC Heading"/>
    <w:basedOn w:val="Cmsor1"/>
    <w:next w:val="Norm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63A49-4BE2-4FBC-9682-55885B4E1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22C05-9AC8-4377-BEB1-7F74B121573D}">
  <ds:schemaRefs>
    <ds:schemaRef ds:uri="http://schemas.microsoft.com/sharepoint/v3/contenttype/forms"/>
  </ds:schemaRefs>
</ds:datastoreItem>
</file>

<file path=customXml/itemProps3.xml><?xml version="1.0" encoding="utf-8"?>
<ds:datastoreItem xmlns:ds="http://schemas.openxmlformats.org/officeDocument/2006/customXml" ds:itemID="{DC42B958-E845-4235-8539-CDEA8F4B17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306474-D0F3-42D0-B06F-D970565A8A9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Luka Strnad</lastModifiedBy>
  <revision>59</revision>
  <dcterms:created xsi:type="dcterms:W3CDTF">2024-11-07T16:25:00.0000000Z</dcterms:created>
  <dcterms:modified xsi:type="dcterms:W3CDTF">2026-03-10T07:09:35.0830434Z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